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LENNOX INTERNATIONAL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001-15149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42-0991521</w:t>
      </w:r>
    </w:p>
    <w:p>
      <w:pPr>
        <w:spacing w:after="0" w:line="27" w:lineRule="exact"/>
        <w:rPr>
          <w:sz w:val="24"/>
          <w:szCs w:val="24"/>
          <w:color w:val="auto"/>
        </w:rPr>
      </w:pPr>
    </w:p>
    <w:p>
      <w:pPr>
        <w:sectPr>
          <w:pgSz w:w="11900" w:h="16838" w:orient="portrait"/>
          <w:cols w:equalWidth="0" w:num="3">
            <w:col w:w="4620" w:space="720"/>
            <w:col w:w="2660" w:space="720"/>
            <w:col w:w="2360"/>
          </w:cols>
          <w:pgMar w:left="320" w:top="999" w:right="499" w:bottom="1440" w:gutter="0" w:footer="0" w:header="0"/>
          <w:type w:val="continuous"/>
        </w:sect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78" w:lineRule="exact"/>
        <w:rPr>
          <w:sz w:val="24"/>
          <w:szCs w:val="24"/>
          <w:color w:val="auto"/>
        </w:rPr>
      </w:pPr>
    </w:p>
    <w:p>
      <w:pPr>
        <w:sectPr>
          <w:pgSz w:w="11900" w:h="16838" w:orient="portrait"/>
          <w:cols w:equalWidth="0" w:num="3">
            <w:col w:w="4520" w:space="720"/>
            <w:col w:w="2520" w:space="720"/>
            <w:col w:w="2600"/>
          </w:cols>
          <w:pgMar w:left="320" w:top="99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2140 LAKE PARK BLVD.,</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RICHARDSON, Texas 75080</w:t>
      </w:r>
    </w:p>
    <w:p>
      <w:pPr>
        <w:sectPr>
          <w:pgSz w:w="11900" w:h="16838" w:orient="portrait"/>
          <w:cols w:equalWidth="0" w:num="1">
            <w:col w:w="11080"/>
          </w:cols>
          <w:pgMar w:left="320" w:top="999" w:right="499" w:bottom="1440" w:gutter="0" w:footer="0" w:header="0"/>
          <w:type w:val="continuous"/>
        </w:sectPr>
      </w:pPr>
    </w:p>
    <w:p>
      <w:pPr>
        <w:spacing w:after="0" w:line="28"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972</w:t>
      </w:r>
      <w:r>
        <w:rPr>
          <w:rFonts w:ascii="Times New Roman" w:cs="Times New Roman" w:eastAsia="Times New Roman" w:hAnsi="Times New Roman"/>
          <w:sz w:val="18"/>
          <w:szCs w:val="18"/>
          <w:b w:val="1"/>
          <w:bCs w:val="1"/>
          <w:color w:val="auto"/>
        </w:rPr>
        <w:t>)497-5000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8"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40" w:type="dxa"/>
            <w:vAlign w:val="bottom"/>
            <w:gridSpan w:val="3"/>
            <w:vMerge w:val="restart"/>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72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50"/>
        </w:trPr>
        <w:tc>
          <w:tcPr>
            <w:tcW w:w="4340" w:type="dxa"/>
            <w:vAlign w:val="bottom"/>
            <w:gridSpan w:val="3"/>
            <w:vMerge w:val="continue"/>
          </w:tcPr>
          <w:p>
            <w:pPr>
              <w:spacing w:after="0"/>
              <w:rPr>
                <w:sz w:val="21"/>
                <w:szCs w:val="21"/>
                <w:color w:val="auto"/>
              </w:rPr>
            </w:pPr>
          </w:p>
        </w:tc>
        <w:tc>
          <w:tcPr>
            <w:tcW w:w="2720" w:type="dxa"/>
            <w:vAlign w:val="bottom"/>
            <w:gridSpan w:val="2"/>
            <w:vMerge w:val="continue"/>
          </w:tcPr>
          <w:p>
            <w:pPr>
              <w:spacing w:after="0"/>
              <w:rPr>
                <w:sz w:val="21"/>
                <w:szCs w:val="21"/>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0" w:type="dxa"/>
            <w:vAlign w:val="bottom"/>
          </w:tcPr>
          <w:p>
            <w:pPr>
              <w:spacing w:after="0"/>
              <w:rPr>
                <w:sz w:val="1"/>
                <w:szCs w:val="1"/>
                <w:color w:val="auto"/>
              </w:rPr>
            </w:pPr>
          </w:p>
        </w:tc>
      </w:tr>
      <w:tr>
        <w:trPr>
          <w:trHeight w:val="238"/>
        </w:trPr>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LII</w:t>
            </w:r>
          </w:p>
        </w:tc>
        <w:tc>
          <w:tcPr>
            <w:tcW w:w="200" w:type="dxa"/>
            <w:vAlign w:val="bottom"/>
          </w:tcPr>
          <w:p>
            <w:pPr>
              <w:spacing w:after="0"/>
              <w:rPr>
                <w:sz w:val="20"/>
                <w:szCs w:val="20"/>
                <w:color w:val="auto"/>
              </w:rPr>
            </w:pPr>
          </w:p>
        </w:tc>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9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47" w:lineRule="exact"/>
        <w:rPr>
          <w:sz w:val="20"/>
          <w:szCs w:val="20"/>
          <w:color w:val="auto"/>
        </w:rPr>
      </w:pPr>
    </w:p>
    <w:p>
      <w:pPr>
        <w:ind w:right="340" w:firstLine="405"/>
        <w:spacing w:after="0" w:line="255" w:lineRule="auto"/>
        <w:rPr>
          <w:sz w:val="20"/>
          <w:szCs w:val="20"/>
          <w:color w:val="auto"/>
        </w:rPr>
      </w:pPr>
      <w:r>
        <w:rPr>
          <w:rFonts w:ascii="Times New Roman" w:cs="Times New Roman" w:eastAsia="Times New Roman" w:hAnsi="Times New Roman"/>
          <w:sz w:val="20"/>
          <w:szCs w:val="20"/>
          <w:color w:val="auto"/>
        </w:rPr>
        <w:t>On October 23, 2024, Lennox International Inc. (the “Company”) issued a press release announcing its financial results for the third quarter of 2024. A copy of the press release is furnished as Exhibit 99.1 to this report.</w:t>
      </w:r>
    </w:p>
    <w:p>
      <w:pPr>
        <w:spacing w:after="0" w:line="209" w:lineRule="exact"/>
        <w:rPr>
          <w:sz w:val="20"/>
          <w:szCs w:val="20"/>
          <w:color w:val="auto"/>
        </w:rPr>
      </w:pPr>
    </w:p>
    <w:p>
      <w:pPr>
        <w:ind w:right="66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60" w:firstLine="405"/>
        <w:spacing w:after="0" w:line="249" w:lineRule="auto"/>
        <w:rPr>
          <w:sz w:val="20"/>
          <w:szCs w:val="20"/>
          <w:color w:val="auto"/>
        </w:rPr>
      </w:pPr>
      <w:r>
        <w:rPr>
          <w:rFonts w:ascii="Times New Roman" w:cs="Times New Roman" w:eastAsia="Times New Roman" w:hAnsi="Times New Roman"/>
          <w:sz w:val="20"/>
          <w:szCs w:val="20"/>
          <w:color w:val="auto"/>
        </w:rPr>
        <w:t>On October 21, 2024, John D. Torres, Executive Vice President, Chief Legal Officer, and Corporate Secretary, notified the Company of his decision to retire as Chief Legal Officer effective December 31, 2024. Thereafter, Mr. Torres will continue to serve as Executive Vice President, with no changes to his current compensation package, and provide advice and assistance related to the Chief Legal Officer leadership transition until his retirement from the Company effective February 28, 2025.</w:t>
      </w:r>
    </w:p>
    <w:p>
      <w:pPr>
        <w:spacing w:after="0" w:line="193" w:lineRule="exact"/>
        <w:rPr>
          <w:sz w:val="20"/>
          <w:szCs w:val="20"/>
          <w:color w:val="auto"/>
        </w:rPr>
      </w:pPr>
    </w:p>
    <w:p>
      <w:pPr>
        <w:ind w:right="540" w:firstLine="405"/>
        <w:spacing w:after="0" w:line="295" w:lineRule="auto"/>
        <w:rPr>
          <w:sz w:val="20"/>
          <w:szCs w:val="20"/>
          <w:color w:val="auto"/>
        </w:rPr>
      </w:pPr>
      <w:r>
        <w:rPr>
          <w:rFonts w:ascii="Times New Roman" w:cs="Times New Roman" w:eastAsia="Times New Roman" w:hAnsi="Times New Roman"/>
          <w:sz w:val="19"/>
          <w:szCs w:val="19"/>
          <w:color w:val="auto"/>
        </w:rPr>
        <w:t>Effective January 1, 2025, Monica M. Brown, who is currently serving as Vice President, Deputy General Counsel, and Assistant Secretary, will succeed Mr. Torres as Executive Vice President, Chief Legal Officer, and Corporate Secretary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47" w:lineRule="exact"/>
        <w:rPr>
          <w:sz w:val="20"/>
          <w:szCs w:val="20"/>
          <w:color w:val="auto"/>
        </w:rPr>
      </w:pPr>
    </w:p>
    <w:p>
      <w:pPr>
        <w:ind w:right="880" w:firstLine="405"/>
        <w:spacing w:after="0" w:line="255" w:lineRule="auto"/>
        <w:rPr>
          <w:sz w:val="20"/>
          <w:szCs w:val="20"/>
          <w:color w:val="auto"/>
        </w:rPr>
      </w:pPr>
      <w:r>
        <w:rPr>
          <w:rFonts w:ascii="Times New Roman" w:cs="Times New Roman" w:eastAsia="Times New Roman" w:hAnsi="Times New Roman"/>
          <w:sz w:val="20"/>
          <w:szCs w:val="20"/>
          <w:color w:val="auto"/>
        </w:rPr>
        <w:t>A copy of the press release issued by the Company on October 23, 2024 announcing Mr. Torres’ retirement and Ms. Brown’s appointment is furnished as Exhibit 99.2 to this report.</w:t>
      </w:r>
    </w:p>
    <w:p>
      <w:pPr>
        <w:spacing w:after="0" w:line="19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780" w:type="dxa"/>
            <w:vAlign w:val="bottom"/>
            <w:gridSpan w:val="3"/>
          </w:tcPr>
          <w:p>
            <w:pPr>
              <w:jc w:val="center"/>
              <w:ind w:right="580"/>
              <w:spacing w:after="0"/>
              <w:rPr>
                <w:sz w:val="20"/>
                <w:szCs w:val="20"/>
                <w:color w:val="auto"/>
              </w:rPr>
            </w:pPr>
            <w:r>
              <w:rPr>
                <w:rFonts w:ascii="Times New Roman" w:cs="Times New Roman" w:eastAsia="Times New Roman" w:hAnsi="Times New Roman"/>
                <w:sz w:val="20"/>
                <w:szCs w:val="20"/>
                <w:b w:val="1"/>
                <w:bCs w:val="1"/>
                <w:color w:val="auto"/>
              </w:rPr>
              <w:t>(d)  Exhibits.</w:t>
            </w:r>
          </w:p>
        </w:tc>
        <w:tc>
          <w:tcPr>
            <w:tcW w:w="13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140" w:type="dxa"/>
            <w:vAlign w:val="bottom"/>
          </w:tcPr>
          <w:p>
            <w:pPr>
              <w:spacing w:after="0"/>
              <w:rPr>
                <w:sz w:val="24"/>
                <w:szCs w:val="24"/>
                <w:color w:val="auto"/>
              </w:rPr>
            </w:pPr>
          </w:p>
        </w:tc>
        <w:tc>
          <w:tcPr>
            <w:tcW w:w="1640" w:type="dxa"/>
            <w:vAlign w:val="bottom"/>
            <w:gridSpan w:val="2"/>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1640" w:type="dxa"/>
            <w:vAlign w:val="bottom"/>
            <w:gridSpan w:val="2"/>
          </w:tcPr>
          <w:p>
            <w:pPr>
              <w:jc w:val="center"/>
              <w:ind w:right="760"/>
              <w:spacing w:after="0" w:line="183" w:lineRule="exact"/>
              <w:rPr>
                <w:sz w:val="20"/>
                <w:szCs w:val="20"/>
                <w:color w:val="auto"/>
              </w:rPr>
            </w:pPr>
            <w:r>
              <w:rPr>
                <w:rFonts w:ascii="Times New Roman" w:cs="Times New Roman" w:eastAsia="Times New Roman" w:hAnsi="Times New Roman"/>
                <w:sz w:val="20"/>
                <w:szCs w:val="20"/>
                <w:b w:val="1"/>
                <w:bCs w:val="1"/>
                <w:color w:val="auto"/>
                <w:w w:val="98"/>
              </w:rPr>
              <w:t>NUMBER</w:t>
            </w:r>
          </w:p>
        </w:tc>
        <w:tc>
          <w:tcPr>
            <w:tcW w:w="6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0"/>
        </w:trPr>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76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Press release dated October 23, 2024 re: earnings (furnished herewith).*</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99.2</w:t>
            </w:r>
          </w:p>
        </w:tc>
        <w:tc>
          <w:tcPr>
            <w:tcW w:w="760" w:type="dxa"/>
            <w:vAlign w:val="bottom"/>
          </w:tcPr>
          <w:p>
            <w:pPr>
              <w:spacing w:after="0"/>
              <w:rPr>
                <w:sz w:val="21"/>
                <w:szCs w:val="21"/>
                <w:color w:val="auto"/>
              </w:rPr>
            </w:pPr>
          </w:p>
        </w:tc>
        <w:tc>
          <w:tcPr>
            <w:tcW w:w="6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Press release dated October 23, 2024 re: CLO transition (furnished herewith).*</w:t>
            </w:r>
          </w:p>
        </w:tc>
        <w:tc>
          <w:tcPr>
            <w:tcW w:w="0" w:type="dxa"/>
            <w:vAlign w:val="bottom"/>
          </w:tcPr>
          <w:p>
            <w:pPr>
              <w:spacing w:after="0"/>
              <w:rPr>
                <w:sz w:val="1"/>
                <w:szCs w:val="1"/>
                <w:color w:val="auto"/>
              </w:rPr>
            </w:pPr>
          </w:p>
        </w:tc>
      </w:tr>
      <w:tr>
        <w:trPr>
          <w:trHeight w:val="283"/>
        </w:trPr>
        <w:tc>
          <w:tcPr>
            <w:tcW w:w="1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104</w:t>
            </w:r>
          </w:p>
        </w:tc>
        <w:tc>
          <w:tcPr>
            <w:tcW w:w="76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Inline XBRL for the cover page of this Current Report on Form 8-K.</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40" w:hanging="214"/>
        <w:spacing w:after="0" w:line="217" w:lineRule="auto"/>
        <w:tabs>
          <w:tab w:leader="none" w:pos="2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Item 2.02, Item 7.01, and Exhibits 99.1 and 99.2 of this report is being “furnished” with the Securities and Exchange Commission and shall not be deemed “filed” for purposes of Section 18 of the Securities Exchange Act of 1934, as amended, or otherwise subject to the liabilities under that section. Furthermore, such information shall not be deemed to be incorporated by reference in any filing under the Securities Act of 1933, as amended, or the Securities Exchange Act of 1934, as amended, unless specifically identified as being incorporated 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5"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2" w:lineRule="exact"/>
        <w:rPr>
          <w:sz w:val="20"/>
          <w:szCs w:val="20"/>
          <w:color w:val="auto"/>
        </w:rPr>
      </w:pPr>
    </w:p>
    <w:p>
      <w:pPr>
        <w:ind w:firstLine="405"/>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00" w:lineRule="exact"/>
        <w:rPr>
          <w:sz w:val="20"/>
          <w:szCs w:val="20"/>
          <w:color w:val="auto"/>
        </w:rPr>
      </w:pPr>
    </w:p>
    <w:p>
      <w:pPr>
        <w:spacing w:after="0" w:line="29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Date: October 23, 2024</w:t>
      </w:r>
    </w:p>
    <w:p>
      <w:pPr>
        <w:spacing w:after="0" w:line="297" w:lineRule="exact"/>
        <w:rPr>
          <w:sz w:val="20"/>
          <w:szCs w:val="20"/>
          <w:color w:val="auto"/>
        </w:rPr>
      </w:pPr>
    </w:p>
    <w:tbl>
      <w:tblPr>
        <w:tblLayout w:type="fixed"/>
        <w:tblInd w:w="5960" w:type="dxa"/>
        <w:tblCellMar>
          <w:top w:w="0" w:type="dxa"/>
          <w:left w:w="0" w:type="dxa"/>
          <w:bottom w:w="0" w:type="dxa"/>
          <w:right w:w="0" w:type="dxa"/>
        </w:tblCellMar>
      </w:tblP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Michael P. Quenzer</w:t>
            </w:r>
          </w:p>
        </w:tc>
      </w:tr>
      <w:tr>
        <w:trPr>
          <w:trHeight w:val="263"/>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Michael P. Quenzer</w:t>
            </w:r>
          </w:p>
        </w:tc>
      </w:tr>
      <w:tr>
        <w:trPr>
          <w:trHeight w:val="228"/>
        </w:trPr>
        <w:tc>
          <w:tcPr>
            <w:tcW w:w="1220" w:type="dxa"/>
            <w:vAlign w:val="bottom"/>
          </w:tcPr>
          <w:p>
            <w:pPr>
              <w:spacing w:after="0"/>
              <w:rPr>
                <w:sz w:val="19"/>
                <w:szCs w:val="19"/>
                <w:color w:val="auto"/>
              </w:rPr>
            </w:pPr>
          </w:p>
        </w:tc>
        <w:tc>
          <w:tcPr>
            <w:tcW w:w="406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Executive Vice President and Chief</w:t>
            </w:r>
          </w:p>
        </w:tc>
      </w:tr>
      <w:tr>
        <w:trPr>
          <w:trHeight w:val="272"/>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Financial Officer</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3111500" cy="668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Lennox Reports Third Quarter Results and Raises Full Year Guidance</w:t>
      </w:r>
    </w:p>
    <w:p>
      <w:pPr>
        <w:spacing w:after="0"/>
        <w:rPr>
          <w:sz w:val="20"/>
          <w:szCs w:val="20"/>
          <w:color w:val="auto"/>
        </w:rPr>
      </w:pPr>
      <w:r>
        <w:rPr>
          <w:rFonts w:ascii="Arial" w:cs="Arial" w:eastAsia="Arial" w:hAnsi="Arial"/>
          <w:sz w:val="22"/>
          <w:szCs w:val="22"/>
          <w:color w:val="auto"/>
        </w:rPr>
        <w:t>____________________________________________________________________________</w:t>
      </w:r>
    </w:p>
    <w:p>
      <w:pPr>
        <w:spacing w:after="0" w:line="207" w:lineRule="auto"/>
        <w:rPr>
          <w:sz w:val="20"/>
          <w:szCs w:val="20"/>
          <w:color w:val="auto"/>
        </w:rPr>
      </w:pPr>
      <w:r>
        <w:rPr>
          <w:rFonts w:ascii="Calibri" w:cs="Calibri" w:eastAsia="Calibri" w:hAnsi="Calibri"/>
          <w:sz w:val="20"/>
          <w:szCs w:val="20"/>
          <w:b w:val="1"/>
          <w:bCs w:val="1"/>
          <w:color w:val="auto"/>
        </w:rPr>
        <w:t>Q3 Highlights</w:t>
      </w:r>
    </w:p>
    <w:p>
      <w:pPr>
        <w:spacing w:after="0" w:line="222" w:lineRule="auto"/>
        <w:rPr>
          <w:sz w:val="20"/>
          <w:szCs w:val="20"/>
          <w:color w:val="auto"/>
        </w:rPr>
      </w:pPr>
      <w:r>
        <w:rPr>
          <w:rFonts w:ascii="Calibri" w:cs="Calibri" w:eastAsia="Calibri" w:hAnsi="Calibri"/>
          <w:sz w:val="16"/>
          <w:szCs w:val="16"/>
          <w:color w:val="auto"/>
        </w:rPr>
        <w:t>(All comparisons are year-over-year, unless otherwise noted)</w:t>
      </w:r>
    </w:p>
    <w:p>
      <w:pPr>
        <w:spacing w:after="0" w:line="233" w:lineRule="auto"/>
        <w:rPr>
          <w:sz w:val="20"/>
          <w:szCs w:val="20"/>
          <w:color w:val="auto"/>
        </w:rPr>
      </w:pPr>
      <w:r>
        <w:rPr>
          <w:rFonts w:ascii="Calibri" w:cs="Calibri" w:eastAsia="Calibri" w:hAnsi="Calibri"/>
          <w:sz w:val="16"/>
          <w:szCs w:val="16"/>
          <w:color w:val="auto"/>
        </w:rPr>
        <w:t>(Prior-year adjusted results and core revenue exclude European operatons that were divested in the 4Q 2023)</w:t>
      </w:r>
    </w:p>
    <w:p>
      <w:pPr>
        <w:spacing w:after="0" w:line="210" w:lineRule="exact"/>
        <w:rPr>
          <w:sz w:val="20"/>
          <w:szCs w:val="20"/>
          <w:color w:val="auto"/>
        </w:rPr>
      </w:pPr>
    </w:p>
    <w:p>
      <w:pPr>
        <w:ind w:left="240" w:hanging="151"/>
        <w:spacing w:after="0"/>
        <w:tabs>
          <w:tab w:leader="none" w:pos="2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Revenue $1.5 billion – Core revenue up 15%, including 2% growth from acquisitons</w:t>
      </w:r>
    </w:p>
    <w:p>
      <w:pPr>
        <w:spacing w:after="0" w:line="228" w:lineRule="exact"/>
        <w:rPr>
          <w:rFonts w:ascii="Calibri" w:cs="Calibri" w:eastAsia="Calibri" w:hAnsi="Calibri"/>
          <w:sz w:val="20"/>
          <w:szCs w:val="20"/>
          <w:color w:val="auto"/>
        </w:rPr>
      </w:pPr>
    </w:p>
    <w:p>
      <w:pPr>
        <w:ind w:left="240" w:hanging="151"/>
        <w:spacing w:after="0"/>
        <w:tabs>
          <w:tab w:leader="none" w:pos="2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GAAP Operatng Income $303 million – Adjusted segment proft up 21% to $303 million</w:t>
      </w:r>
    </w:p>
    <w:p>
      <w:pPr>
        <w:spacing w:after="0" w:line="214" w:lineRule="exact"/>
        <w:rPr>
          <w:rFonts w:ascii="Calibri" w:cs="Calibri" w:eastAsia="Calibri" w:hAnsi="Calibri"/>
          <w:sz w:val="20"/>
          <w:szCs w:val="20"/>
          <w:color w:val="auto"/>
        </w:rPr>
      </w:pPr>
    </w:p>
    <w:p>
      <w:pPr>
        <w:ind w:left="240" w:hanging="151"/>
        <w:spacing w:after="0"/>
        <w:tabs>
          <w:tab w:leader="none" w:pos="2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GAAP diluted EPS $6.68 – Adjusted diluted EPS up 24% to $6.68</w:t>
      </w:r>
    </w:p>
    <w:p>
      <w:pPr>
        <w:spacing w:after="0" w:line="214" w:lineRule="exact"/>
        <w:rPr>
          <w:rFonts w:ascii="Calibri" w:cs="Calibri" w:eastAsia="Calibri" w:hAnsi="Calibri"/>
          <w:sz w:val="20"/>
          <w:szCs w:val="20"/>
          <w:color w:val="auto"/>
        </w:rPr>
      </w:pPr>
    </w:p>
    <w:p>
      <w:pPr>
        <w:ind w:left="480" w:hanging="391"/>
        <w:spacing w:after="0"/>
        <w:tabs>
          <w:tab w:leader="none" w:pos="48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Net cash from operatons was $452 million – Free cash fow was $412 million, up 50%</w:t>
      </w:r>
    </w:p>
    <w:p>
      <w:pPr>
        <w:spacing w:after="0" w:line="228" w:lineRule="exact"/>
        <w:rPr>
          <w:rFonts w:ascii="Calibri" w:cs="Calibri" w:eastAsia="Calibri" w:hAnsi="Calibri"/>
          <w:sz w:val="20"/>
          <w:szCs w:val="20"/>
          <w:color w:val="auto"/>
        </w:rPr>
      </w:pPr>
    </w:p>
    <w:p>
      <w:pPr>
        <w:ind w:left="480" w:hanging="391"/>
        <w:spacing w:after="0"/>
        <w:tabs>
          <w:tab w:leader="none" w:pos="48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Raising FY guidance to 10% revenue growth, EPS to $20.75-$21.00 and cash fow to $575 - $650 million</w:t>
      </w:r>
    </w:p>
    <w:p>
      <w:pPr>
        <w:spacing w:after="0"/>
        <w:rPr>
          <w:rFonts w:ascii="Calibri" w:cs="Calibri" w:eastAsia="Calibri" w:hAnsi="Calibri"/>
          <w:sz w:val="20"/>
          <w:szCs w:val="20"/>
          <w:color w:val="auto"/>
        </w:rPr>
      </w:pPr>
      <w:r>
        <w:rPr>
          <w:rFonts w:ascii="Arial" w:cs="Arial" w:eastAsia="Arial" w:hAnsi="Arial"/>
          <w:sz w:val="20"/>
          <w:szCs w:val="20"/>
          <w:color w:val="auto"/>
        </w:rPr>
        <w:t>____________________________________________________________________________</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Highlights from recent press announcements:</w:t>
      </w:r>
    </w:p>
    <w:p>
      <w:pPr>
        <w:spacing w:after="0" w:line="228" w:lineRule="exact"/>
        <w:rPr>
          <w:sz w:val="20"/>
          <w:szCs w:val="20"/>
          <w:color w:val="auto"/>
        </w:rPr>
      </w:pPr>
    </w:p>
    <w:p>
      <w:pPr>
        <w:ind w:left="80"/>
        <w:spacing w:after="0"/>
        <w:tabs>
          <w:tab w:leader="none" w:pos="460" w:val="left"/>
          <w:tab w:leader="none" w:pos="9060" w:val="left"/>
        </w:tabs>
        <w:rPr>
          <w:sz w:val="20"/>
          <w:szCs w:val="20"/>
          <w:color w:val="auto"/>
        </w:rPr>
      </w:pPr>
      <w:r>
        <w:rPr>
          <w:rFonts w:ascii="Calibri" w:cs="Calibri" w:eastAsia="Calibri" w:hAnsi="Calibri"/>
          <w:sz w:val="20"/>
          <w:szCs w:val="20"/>
          <w:color w:val="auto"/>
        </w:rPr>
        <w:t>•</w:t>
      </w:r>
      <w:r>
        <w:rPr>
          <w:sz w:val="20"/>
          <w:szCs w:val="20"/>
          <w:color w:val="auto"/>
        </w:rPr>
        <w:tab/>
      </w:r>
      <w:r>
        <w:rPr>
          <w:rFonts w:ascii="Calibri" w:cs="Calibri" w:eastAsia="Calibri" w:hAnsi="Calibri"/>
          <w:sz w:val="20"/>
          <w:szCs w:val="20"/>
          <w:color w:val="auto"/>
        </w:rPr>
        <w:t>Company announced CLO, John Torres, has elected to retre and is being succeeded by Monica Brown,</w:t>
        <w:tab/>
        <w:t>efectve January 1, 2025</w:t>
      </w:r>
    </w:p>
    <w:p>
      <w:pPr>
        <w:spacing w:after="0"/>
        <w:rPr>
          <w:sz w:val="20"/>
          <w:szCs w:val="20"/>
          <w:color w:val="auto"/>
        </w:rPr>
      </w:pPr>
      <w:r>
        <w:rPr>
          <w:rFonts w:ascii="Arial" w:cs="Arial" w:eastAsia="Arial" w:hAnsi="Arial"/>
          <w:sz w:val="20"/>
          <w:szCs w:val="20"/>
          <w:color w:val="auto"/>
        </w:rPr>
        <w:t>____________________________________________________________________________</w:t>
      </w:r>
    </w:p>
    <w:p>
      <w:pPr>
        <w:spacing w:after="0" w:line="6" w:lineRule="exact"/>
        <w:rPr>
          <w:sz w:val="20"/>
          <w:szCs w:val="20"/>
          <w:color w:val="auto"/>
        </w:rPr>
      </w:pPr>
    </w:p>
    <w:p>
      <w:pPr>
        <w:jc w:val="both"/>
        <w:ind w:right="500"/>
        <w:spacing w:after="0" w:line="209" w:lineRule="auto"/>
        <w:rPr>
          <w:sz w:val="20"/>
          <w:szCs w:val="20"/>
          <w:color w:val="auto"/>
        </w:rPr>
      </w:pPr>
      <w:r>
        <w:rPr>
          <w:rFonts w:ascii="Calibri" w:cs="Calibri" w:eastAsia="Calibri" w:hAnsi="Calibri"/>
          <w:sz w:val="20"/>
          <w:szCs w:val="20"/>
          <w:b w:val="1"/>
          <w:bCs w:val="1"/>
          <w:color w:val="auto"/>
        </w:rPr>
        <w:t xml:space="preserve">DALLAS, October 23, 2024 – Lennox (NYSE: LII), </w:t>
      </w:r>
      <w:r>
        <w:rPr>
          <w:rFonts w:ascii="Calibri" w:cs="Calibri" w:eastAsia="Calibri" w:hAnsi="Calibri"/>
          <w:sz w:val="20"/>
          <w:szCs w:val="20"/>
          <w:color w:val="auto"/>
        </w:rPr>
        <w:t>a leader in energy-efcient climate-control solutons, today reported third quarter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fnancial results with $1.5 billion of revenue, a record $303 million of operatng income and $6.68 GAAP diluted earnings per share.</w:t>
      </w:r>
    </w:p>
    <w:p>
      <w:pPr>
        <w:spacing w:after="0" w:line="239" w:lineRule="exact"/>
        <w:rPr>
          <w:sz w:val="20"/>
          <w:szCs w:val="20"/>
          <w:color w:val="auto"/>
        </w:rPr>
      </w:pPr>
    </w:p>
    <w:p>
      <w:pPr>
        <w:ind w:right="420"/>
        <w:spacing w:after="0" w:line="234" w:lineRule="auto"/>
        <w:rPr>
          <w:sz w:val="20"/>
          <w:szCs w:val="20"/>
          <w:color w:val="auto"/>
        </w:rPr>
      </w:pPr>
      <w:r>
        <w:rPr>
          <w:rFonts w:ascii="Calibri" w:cs="Calibri" w:eastAsia="Calibri" w:hAnsi="Calibri"/>
          <w:sz w:val="20"/>
          <w:szCs w:val="20"/>
          <w:color w:val="auto"/>
        </w:rPr>
        <w:t>Core revenue grew 15% to $1.5 billion. Adjusted segment proft rose 21% to $303 million. Adjusted segment margin was up 90 basis points to a record 20.2%. Adjusted diluted earnings per share rose 24% to $6.68.</w:t>
      </w:r>
    </w:p>
    <w:p>
      <w:pPr>
        <w:spacing w:after="0" w:line="226" w:lineRule="exact"/>
        <w:rPr>
          <w:sz w:val="20"/>
          <w:szCs w:val="20"/>
          <w:color w:val="auto"/>
        </w:rPr>
      </w:pPr>
    </w:p>
    <w:p>
      <w:pPr>
        <w:ind w:right="20"/>
        <w:spacing w:after="0" w:line="221" w:lineRule="auto"/>
        <w:rPr>
          <w:sz w:val="20"/>
          <w:szCs w:val="20"/>
          <w:color w:val="auto"/>
        </w:rPr>
      </w:pPr>
      <w:r>
        <w:rPr>
          <w:rFonts w:ascii="Calibri" w:cs="Calibri" w:eastAsia="Calibri" w:hAnsi="Calibri"/>
          <w:sz w:val="20"/>
          <w:szCs w:val="20"/>
          <w:color w:val="auto"/>
        </w:rPr>
        <w:t>"The Lennox team is proud to deliver another exceptonal quarter driven by the efectve executon of our transformaton plan,” said Chief Executve Ofcer, Alok Maskara. “We also successfully operatonalized the Samsung Lennox joint venture, started producton at our new Saltllo commercial factory, and integrated AES ahead of schedule. Our low GWP transiton plan and products are strengthening our compettve edge, and we are well-positoned to capture market share in the years ahead. This gives us confdence to raise our full year guidance once again.”</w:t>
      </w:r>
    </w:p>
    <w:p>
      <w:pPr>
        <w:spacing w:after="0" w:line="226" w:lineRule="exact"/>
        <w:rPr>
          <w:sz w:val="20"/>
          <w:szCs w:val="20"/>
          <w:color w:val="auto"/>
        </w:rPr>
      </w:pPr>
    </w:p>
    <w:p>
      <w:pPr>
        <w:ind w:right="80"/>
        <w:spacing w:after="0" w:line="222" w:lineRule="auto"/>
        <w:rPr>
          <w:sz w:val="20"/>
          <w:szCs w:val="20"/>
          <w:color w:val="auto"/>
        </w:rPr>
      </w:pPr>
      <w:r>
        <w:rPr>
          <w:rFonts w:ascii="Calibri" w:cs="Calibri" w:eastAsia="Calibri" w:hAnsi="Calibri"/>
          <w:sz w:val="20"/>
          <w:szCs w:val="20"/>
          <w:color w:val="auto"/>
        </w:rPr>
        <w:t>“In additon to the impressive third quarter results, we announced this morning that Monica Brown will be appointed Chief Legal Ofcer of Lennox, efectve January 1, 2025, given the planned retrement of John Torres, our current Chief Legal Ofcer in February 2025. I want to thank John for his invaluable counsel and leadership at Lennox and congratulate Monica on her new role,” Maskara contnued.</w:t>
      </w:r>
    </w:p>
    <w:p>
      <w:pPr>
        <w:spacing w:after="0" w:line="241" w:lineRule="exact"/>
        <w:rPr>
          <w:sz w:val="20"/>
          <w:szCs w:val="20"/>
          <w:color w:val="auto"/>
        </w:rPr>
      </w:pPr>
    </w:p>
    <w:p>
      <w:pPr>
        <w:ind w:right="300"/>
        <w:spacing w:after="0" w:line="218" w:lineRule="auto"/>
        <w:rPr>
          <w:sz w:val="20"/>
          <w:szCs w:val="20"/>
          <w:color w:val="auto"/>
        </w:rPr>
      </w:pPr>
      <w:r>
        <w:rPr>
          <w:rFonts w:ascii="Calibri" w:cs="Calibri" w:eastAsia="Calibri" w:hAnsi="Calibri"/>
          <w:sz w:val="20"/>
          <w:szCs w:val="20"/>
          <w:color w:val="auto"/>
        </w:rPr>
        <w:t>The Home Comfort Solutons segment generated 15% revenue growth in the third quarter, driven by impressive sales volume and contnued focus on pricing. Sales volume benefted from industry R-410A availability challenges and restocking of depleted industry inventories. The segment maintained steady margin expansion, efectvely ofsetng the impact of infaton and ongoing investments.</w:t>
      </w:r>
    </w:p>
    <w:p>
      <w:pPr>
        <w:spacing w:after="0" w:line="239" w:lineRule="exact"/>
        <w:rPr>
          <w:sz w:val="20"/>
          <w:szCs w:val="20"/>
          <w:color w:val="auto"/>
        </w:rPr>
      </w:pPr>
    </w:p>
    <w:p>
      <w:pPr>
        <w:ind w:right="320"/>
        <w:spacing w:after="0" w:line="221" w:lineRule="auto"/>
        <w:rPr>
          <w:sz w:val="20"/>
          <w:szCs w:val="20"/>
          <w:color w:val="auto"/>
        </w:rPr>
      </w:pPr>
      <w:r>
        <w:rPr>
          <w:rFonts w:ascii="Calibri" w:cs="Calibri" w:eastAsia="Calibri" w:hAnsi="Calibri"/>
          <w:sz w:val="20"/>
          <w:szCs w:val="20"/>
          <w:color w:val="auto"/>
        </w:rPr>
        <w:t>The Business Climate Solutons segment revenue grew 15% this quarter. The AES business contnues to perform well, contributng 6% revenue growth to the segment. The integraton of the AES acquisiton was successfully</w:t>
      </w:r>
    </w:p>
    <w:p>
      <w:pPr>
        <w:sectPr>
          <w:pgSz w:w="11900" w:h="16838" w:orient="portrait"/>
          <w:cols w:equalWidth="0" w:num="1">
            <w:col w:w="11240"/>
          </w:cols>
          <w:pgMar w:left="320" w:top="100" w:right="339" w:bottom="1440" w:gutter="0" w:footer="0" w:header="0"/>
        </w:sectPr>
      </w:pPr>
    </w:p>
    <w:bookmarkStart w:id="4" w:name="page5"/>
    <w:bookmarkEnd w:id="4"/>
    <w:p>
      <w:pPr>
        <w:ind w:right="200"/>
        <w:spacing w:after="0" w:line="221" w:lineRule="auto"/>
        <w:rPr>
          <w:sz w:val="20"/>
          <w:szCs w:val="20"/>
          <w:color w:val="auto"/>
        </w:rPr>
      </w:pPr>
      <w:r>
        <w:rPr>
          <w:rFonts w:ascii="Calibri" w:cs="Calibri" w:eastAsia="Calibri" w:hAnsi="Calibri"/>
          <w:sz w:val="20"/>
          <w:szCs w:val="20"/>
          <w:color w:val="auto"/>
        </w:rPr>
        <w:t>completed ahead of schedule. Segment proft margin contnues to be impacted by ongoing investments to ramp up our new factory in Saltllo, Mexico.</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THIRD QUARTER 2024 FINANCIAL HIGHLIGHTS</w:t>
      </w:r>
    </w:p>
    <w:p>
      <w:pPr>
        <w:spacing w:after="0" w:line="225" w:lineRule="auto"/>
        <w:rPr>
          <w:sz w:val="20"/>
          <w:szCs w:val="20"/>
          <w:color w:val="auto"/>
        </w:rPr>
      </w:pPr>
      <w:r>
        <w:rPr>
          <w:rFonts w:ascii="Calibri" w:cs="Calibri" w:eastAsia="Calibri" w:hAnsi="Calibri"/>
          <w:sz w:val="20"/>
          <w:szCs w:val="20"/>
          <w:color w:val="auto"/>
        </w:rPr>
        <w:t>(All comparisons are year-over-year, unless otherwise noted)</w:t>
      </w:r>
    </w:p>
    <w:p>
      <w:pPr>
        <w:spacing w:after="0" w:line="225" w:lineRule="exact"/>
        <w:rPr>
          <w:sz w:val="20"/>
          <w:szCs w:val="20"/>
          <w:color w:val="auto"/>
        </w:rPr>
      </w:pPr>
    </w:p>
    <w:p>
      <w:pPr>
        <w:spacing w:after="0" w:line="228" w:lineRule="auto"/>
        <w:rPr>
          <w:sz w:val="20"/>
          <w:szCs w:val="20"/>
          <w:color w:val="auto"/>
        </w:rPr>
      </w:pPr>
      <w:r>
        <w:rPr>
          <w:rFonts w:ascii="Calibri" w:cs="Calibri" w:eastAsia="Calibri" w:hAnsi="Calibri"/>
          <w:sz w:val="20"/>
          <w:szCs w:val="20"/>
          <w:b w:val="1"/>
          <w:bCs w:val="1"/>
          <w:color w:val="auto"/>
        </w:rPr>
        <w:t xml:space="preserve">Revenue: </w:t>
      </w:r>
      <w:r>
        <w:rPr>
          <w:rFonts w:ascii="Calibri" w:cs="Calibri" w:eastAsia="Calibri" w:hAnsi="Calibri"/>
          <w:sz w:val="20"/>
          <w:szCs w:val="20"/>
          <w:color w:val="auto"/>
        </w:rPr>
        <w:t>$1.5 billion was up 10% and up 15% for core operatons, with organic revenue up 13% driven by favorable sales volume as well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price/mix benefts.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Operatng Income: </w:t>
      </w:r>
      <w:r>
        <w:rPr>
          <w:rFonts w:ascii="Calibri" w:cs="Calibri" w:eastAsia="Calibri" w:hAnsi="Calibri"/>
          <w:sz w:val="20"/>
          <w:szCs w:val="20"/>
          <w:color w:val="auto"/>
        </w:rPr>
        <w:t>$303 million, up 62%, with operatng proft margin of 20.2%, up 650 basis points.</w:t>
      </w:r>
    </w:p>
    <w:p>
      <w:pPr>
        <w:spacing w:after="0" w:line="225" w:lineRule="exact"/>
        <w:rPr>
          <w:sz w:val="20"/>
          <w:szCs w:val="20"/>
          <w:color w:val="auto"/>
        </w:rPr>
      </w:pPr>
    </w:p>
    <w:p>
      <w:pPr>
        <w:ind w:right="240"/>
        <w:spacing w:after="0" w:line="222" w:lineRule="auto"/>
        <w:rPr>
          <w:sz w:val="20"/>
          <w:szCs w:val="20"/>
          <w:color w:val="auto"/>
        </w:rPr>
      </w:pPr>
      <w:r>
        <w:rPr>
          <w:rFonts w:ascii="Calibri" w:cs="Calibri" w:eastAsia="Calibri" w:hAnsi="Calibri"/>
          <w:sz w:val="20"/>
          <w:szCs w:val="20"/>
          <w:u w:val="single" w:color="auto"/>
          <w:color w:val="auto"/>
        </w:rPr>
        <w:t>Adjusted Segment Proft:</w:t>
      </w:r>
      <w:r>
        <w:rPr>
          <w:rFonts w:ascii="Calibri" w:cs="Calibri" w:eastAsia="Calibri" w:hAnsi="Calibri"/>
          <w:sz w:val="20"/>
          <w:szCs w:val="20"/>
          <w:color w:val="auto"/>
        </w:rPr>
        <w:t xml:space="preserve"> $303 million, up 21%, and adjusted segment proft margin of 20.2%, up 90 basis points. Proft growth was driven by $47 million in organic and inorganic sales volume, and $43 million of price/mix benefts. This was partally ofset by infaton and new factory expenses, SG&amp;A, and distributon investments.</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Net Income: </w:t>
      </w:r>
      <w:r>
        <w:rPr>
          <w:rFonts w:ascii="Calibri" w:cs="Calibri" w:eastAsia="Calibri" w:hAnsi="Calibri"/>
          <w:sz w:val="20"/>
          <w:szCs w:val="20"/>
          <w:color w:val="auto"/>
        </w:rPr>
        <w:t>$239 million, or $6.68 per share, compared to $130 million, or $3.65 per share, in the prior-year quarter.</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Adjusted Net Income</w:t>
      </w:r>
      <w:r>
        <w:rPr>
          <w:rFonts w:ascii="Calibri" w:cs="Calibri" w:eastAsia="Calibri" w:hAnsi="Calibri"/>
          <w:sz w:val="20"/>
          <w:szCs w:val="20"/>
          <w:color w:val="auto"/>
        </w:rPr>
        <w:t>: $239 million, or $6.68 per share, compared to $192 million, or $5.37 per share, in the prior-year quarter.</w:t>
      </w:r>
    </w:p>
    <w:p>
      <w:pPr>
        <w:spacing w:after="0" w:line="238" w:lineRule="exact"/>
        <w:rPr>
          <w:sz w:val="20"/>
          <w:szCs w:val="20"/>
          <w:color w:val="auto"/>
        </w:rPr>
      </w:pPr>
    </w:p>
    <w:p>
      <w:pPr>
        <w:ind w:right="420"/>
        <w:spacing w:after="0" w:line="214" w:lineRule="auto"/>
        <w:rPr>
          <w:sz w:val="20"/>
          <w:szCs w:val="20"/>
          <w:color w:val="auto"/>
        </w:rPr>
      </w:pPr>
      <w:r>
        <w:rPr>
          <w:rFonts w:ascii="Calibri" w:cs="Calibri" w:eastAsia="Calibri" w:hAnsi="Calibri"/>
          <w:sz w:val="20"/>
          <w:szCs w:val="20"/>
          <w:b w:val="1"/>
          <w:bCs w:val="1"/>
          <w:color w:val="auto"/>
        </w:rPr>
        <w:t xml:space="preserve">Cash Flow: </w:t>
      </w:r>
      <w:r>
        <w:rPr>
          <w:rFonts w:ascii="Calibri" w:cs="Calibri" w:eastAsia="Calibri" w:hAnsi="Calibri"/>
          <w:sz w:val="20"/>
          <w:szCs w:val="20"/>
          <w:color w:val="auto"/>
        </w:rPr>
        <w:t>Operatng cash fow was $452 million compared to $313 million in the prior-year quarter. Capital expenditures were $41</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million compared to $40 million in the prior-year quarter. This quarter the company repurchased $13 million in shares.</w:t>
      </w:r>
    </w:p>
    <w:p>
      <w:pPr>
        <w:spacing w:after="0" w:line="240" w:lineRule="exact"/>
        <w:rPr>
          <w:sz w:val="20"/>
          <w:szCs w:val="20"/>
          <w:color w:val="auto"/>
        </w:rPr>
      </w:pPr>
    </w:p>
    <w:p>
      <w:pPr>
        <w:ind w:right="200"/>
        <w:spacing w:after="0" w:line="233" w:lineRule="auto"/>
        <w:rPr>
          <w:sz w:val="20"/>
          <w:szCs w:val="20"/>
          <w:color w:val="auto"/>
        </w:rPr>
      </w:pPr>
      <w:r>
        <w:rPr>
          <w:rFonts w:ascii="Calibri" w:cs="Calibri" w:eastAsia="Calibri" w:hAnsi="Calibri"/>
          <w:sz w:val="20"/>
          <w:szCs w:val="20"/>
          <w:b w:val="1"/>
          <w:bCs w:val="1"/>
          <w:color w:val="auto"/>
        </w:rPr>
        <w:t xml:space="preserve">Home Comfort Solutons: </w:t>
      </w:r>
      <w:r>
        <w:rPr>
          <w:rFonts w:ascii="Calibri" w:cs="Calibri" w:eastAsia="Calibri" w:hAnsi="Calibri"/>
          <w:sz w:val="20"/>
          <w:szCs w:val="20"/>
          <w:color w:val="auto"/>
        </w:rPr>
        <w:t>Business segment revenue was $1.0 billion, up 15%. Segment proft was $227 million, up 25%, and segment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margin was 21.9%, up 170 basis points. Segment proft increased $45 million compared to the prior-year quarter. The increase </w:t>
      </w:r>
      <w:r>
        <w:rPr>
          <w:rFonts w:ascii="Times New Roman" w:cs="Times New Roman" w:eastAsia="Times New Roman" w:hAnsi="Times New Roman"/>
          <w:sz w:val="17"/>
          <w:szCs w:val="17"/>
          <w:color w:val="auto"/>
        </w:rPr>
        <w:t>wa</w:t>
      </w:r>
      <w:r>
        <w:rPr>
          <w:rFonts w:ascii="Calibri" w:cs="Calibri" w:eastAsia="Calibri" w:hAnsi="Calibri"/>
          <w:sz w:val="20"/>
          <w:szCs w:val="20"/>
          <w:color w:val="auto"/>
        </w:rPr>
        <w:t>s atributed to $35 million in sales volume and $33 million in price/mix benefts. This was partally ofset by a $23 million impact from infaton and investments in distributon and selling.</w:t>
      </w:r>
    </w:p>
    <w:p>
      <w:pPr>
        <w:spacing w:after="0" w:line="226" w:lineRule="exact"/>
        <w:rPr>
          <w:sz w:val="20"/>
          <w:szCs w:val="20"/>
          <w:color w:val="auto"/>
        </w:rPr>
      </w:pPr>
    </w:p>
    <w:p>
      <w:pPr>
        <w:ind w:right="80"/>
        <w:spacing w:after="0" w:line="213" w:lineRule="auto"/>
        <w:rPr>
          <w:sz w:val="20"/>
          <w:szCs w:val="20"/>
          <w:color w:val="auto"/>
        </w:rPr>
      </w:pPr>
      <w:r>
        <w:rPr>
          <w:rFonts w:ascii="Calibri" w:cs="Calibri" w:eastAsia="Calibri" w:hAnsi="Calibri"/>
          <w:sz w:val="20"/>
          <w:szCs w:val="20"/>
          <w:b w:val="1"/>
          <w:bCs w:val="1"/>
          <w:color w:val="auto"/>
        </w:rPr>
        <w:t xml:space="preserve">Building Climate Solutons: </w:t>
      </w:r>
      <w:r>
        <w:rPr>
          <w:rFonts w:ascii="Calibri" w:cs="Calibri" w:eastAsia="Calibri" w:hAnsi="Calibri"/>
          <w:sz w:val="20"/>
          <w:szCs w:val="20"/>
          <w:color w:val="auto"/>
        </w:rPr>
        <w:t>Business segment revenue was $465 million, up 15%. Organic revenue was $442 million, up 9%. Segment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proft was $106 million, up $9 million or 9%, and segment margin decreased 120 basis points to 22.8%. This proft improvement was driven by a $12 million increase in organic and inorganic sales volume and $10 million in price/mix improvement. This was ofset by $10 million of expense related to the new factory ramp-up and manufacturing inefciencies at existng facilites, in additon to $3 million of infatonary wage impacts.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Corporate and Other: </w:t>
      </w:r>
      <w:r>
        <w:rPr>
          <w:rFonts w:ascii="Calibri" w:cs="Calibri" w:eastAsia="Calibri" w:hAnsi="Calibri"/>
          <w:sz w:val="20"/>
          <w:szCs w:val="20"/>
          <w:color w:val="auto"/>
        </w:rPr>
        <w:t>Corporate expenses were $29 million, an increase of $2 million versus the prior-year quarter adjusted amount.</w:t>
      </w:r>
    </w:p>
    <w:p>
      <w:pPr>
        <w:sectPr>
          <w:pgSz w:w="11900" w:h="16838" w:orient="portrait"/>
          <w:cols w:equalWidth="0" w:num="1">
            <w:col w:w="11200"/>
          </w:cols>
          <w:pgMar w:left="320" w:top="750" w:right="379" w:bottom="1440" w:gutter="0" w:footer="0" w:header="0"/>
        </w:sectPr>
      </w:pPr>
    </w:p>
    <w:bookmarkStart w:id="5" w:name="page6"/>
    <w:bookmarkEnd w:id="5"/>
    <w:p>
      <w:pPr>
        <w:spacing w:after="0" w:line="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FULL YEAR 2024 GUIDANCE</w:t>
      </w:r>
    </w:p>
    <w:p>
      <w:pPr>
        <w:spacing w:after="0" w:line="212" w:lineRule="auto"/>
        <w:rPr>
          <w:sz w:val="20"/>
          <w:szCs w:val="20"/>
          <w:color w:val="auto"/>
        </w:rPr>
      </w:pPr>
      <w:r>
        <w:rPr>
          <w:rFonts w:ascii="Calibri" w:cs="Calibri" w:eastAsia="Calibri" w:hAnsi="Calibri"/>
          <w:sz w:val="20"/>
          <w:szCs w:val="20"/>
          <w:color w:val="auto"/>
        </w:rPr>
        <w:t>For full year 2024, we are increasing revenue guidance to approximately 10%, with 2% of beneft from the AES acquisiton.</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color w:val="auto"/>
        </w:rPr>
        <w:t>Earnings per share revised range is $20.75 to $21.00 versus the prior range of $19.50 to $20.25.</w:t>
      </w:r>
    </w:p>
    <w:p>
      <w:pPr>
        <w:spacing w:after="0" w:line="238" w:lineRule="exact"/>
        <w:rPr>
          <w:sz w:val="20"/>
          <w:szCs w:val="20"/>
          <w:color w:val="auto"/>
        </w:rPr>
      </w:pPr>
    </w:p>
    <w:p>
      <w:pPr>
        <w:ind w:right="200"/>
        <w:spacing w:after="0" w:line="214" w:lineRule="auto"/>
        <w:rPr>
          <w:sz w:val="20"/>
          <w:szCs w:val="20"/>
          <w:color w:val="auto"/>
        </w:rPr>
      </w:pPr>
      <w:r>
        <w:rPr>
          <w:rFonts w:ascii="Calibri" w:cs="Calibri" w:eastAsia="Calibri" w:hAnsi="Calibri"/>
          <w:sz w:val="20"/>
          <w:szCs w:val="20"/>
          <w:color w:val="auto"/>
        </w:rPr>
        <w:t>Free Cash Flow is estmated to be within the range of $575 million to $650 million compared to the prior range of $500 million to $600 million.</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 INFORMATION</w:t>
      </w:r>
    </w:p>
    <w:p>
      <w:pPr>
        <w:spacing w:after="0"/>
        <w:rPr>
          <w:sz w:val="20"/>
          <w:szCs w:val="20"/>
          <w:color w:val="auto"/>
        </w:rPr>
      </w:pPr>
      <w:r>
        <w:rPr>
          <w:rFonts w:ascii="Calibri" w:cs="Calibri" w:eastAsia="Calibri" w:hAnsi="Calibri"/>
          <w:sz w:val="20"/>
          <w:szCs w:val="20"/>
          <w:color w:val="auto"/>
        </w:rPr>
        <w:t>A conference call to discuss the company’s third quarter results and 2024 outlook will be held this morning at 8:30 a.m. Central Time. To partcipate in the earnings conference, please call 800-245-3047 (U.S.) or +1 203-518-9765 (internatonal) at least 10 minutes prior to the scheduled start tme and use conference ID LIIQ324. The conference call also will be webcast live on the company’s investor relatons web site at investor.lennox.com. A replay of the conference call will be available untl October 30, 2024, by calling toll-free 800-925-9940 (U.S.) or +1 402-220-5394 (internatonal). The call will also be archived on the company's investor relatons website at investor.lennox.com.</w:t>
      </w:r>
    </w:p>
    <w:p>
      <w:pPr>
        <w:spacing w:after="0" w:line="27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LENNOX</w:t>
      </w:r>
    </w:p>
    <w:p>
      <w:pPr>
        <w:ind w:right="520"/>
        <w:spacing w:after="0" w:line="209" w:lineRule="auto"/>
        <w:rPr>
          <w:sz w:val="20"/>
          <w:szCs w:val="20"/>
          <w:color w:val="auto"/>
        </w:rPr>
      </w:pPr>
      <w:r>
        <w:rPr>
          <w:rFonts w:ascii="Calibri" w:cs="Calibri" w:eastAsia="Calibri" w:hAnsi="Calibri"/>
          <w:sz w:val="20"/>
          <w:szCs w:val="20"/>
          <w:color w:val="auto"/>
        </w:rPr>
        <w:t>Lennox (NYSE: LII) is a leader in energy-efcient climate-control solutons. Dedicated to sustainability and creatng comfortable and healthier environments for our residental and commercial customers while reducing their carbon footprint, we lead the feld in innovaton with our cooling, heatng, indoor air quality, and refrigeraton systems. Additonal informaton on Lennox is available at Lennox.com or by contactng investor@lennox.com.</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 &amp; NON-GAAP FINANCIAL MEASURES</w:t>
      </w:r>
    </w:p>
    <w:p>
      <w:pPr>
        <w:ind w:right="120"/>
        <w:spacing w:after="0" w:line="208" w:lineRule="auto"/>
        <w:rPr>
          <w:sz w:val="20"/>
          <w:szCs w:val="20"/>
          <w:color w:val="auto"/>
        </w:rPr>
      </w:pPr>
      <w:r>
        <w:rPr>
          <w:rFonts w:ascii="Calibri" w:cs="Calibri" w:eastAsia="Calibri" w:hAnsi="Calibri"/>
          <w:sz w:val="20"/>
          <w:szCs w:val="20"/>
          <w:color w:val="auto"/>
        </w:rPr>
        <w:t>The statements in this document that are not historical statements, including statements regarding the 2024 full-year outlook and expected consolidated and segment fnancial results, as well as fnancial targets for future years, are forward-looking statements within the meaning of the Private Securites Litgaton Reform Act of 1995. These forward-looking statements are based on informaton currently available as well as management’s assumptons and beliefs today. These statements are subject to numerous risks and uncertaintes that could cause actual results to difer materially from the results expressed or implied by the statements, and investors should not place undue reliance on them. Risks and uncertaintes that could cause actual results to difer materially from such statements include risks that the North American unitary HVAC and refrigeraton markets perform worse than current assumptons. Additonal risks include but are not limited to competton in the HVACR business; our ability to successfully develop and market new products or execute our business strategy; our ability to meet and antcipate customer demands; our ability to contnue to license or enforce our intellectual property rights; our ability to atract, motvate, develop, and retain our employees, as well as labor relatons problems; a decline in new constructon actvity and related demand for our products and services; the impact of weather on our business; the impact of higher raw material prices and signifcant supply interruptons; changes in environmental and climate-related legislaton or government regulatons or policies; changes in tax legislaton; the impact of new or increased trade tarifs; warranty, intellectual property infringement, product liability and other claims; litgaton risks; general economic conditons in the United States and abroad; extraordinary events beyond our control; foreign currency fuctuatons and changes in local government regulaton associated with our internatonal operatons; cyber atacks and other disruptons or misuse of informaton systems; our ability to successfully realize, complete and integrate acquisitons; and impairment of the value of our goodwill.</w:t>
      </w:r>
    </w:p>
    <w:p>
      <w:pPr>
        <w:spacing w:after="0" w:line="246" w:lineRule="exact"/>
        <w:rPr>
          <w:sz w:val="20"/>
          <w:szCs w:val="20"/>
          <w:color w:val="auto"/>
        </w:rPr>
      </w:pPr>
    </w:p>
    <w:p>
      <w:pPr>
        <w:jc w:val="both"/>
        <w:ind w:right="280"/>
        <w:spacing w:after="0" w:line="231" w:lineRule="auto"/>
        <w:rPr>
          <w:sz w:val="20"/>
          <w:szCs w:val="20"/>
          <w:color w:val="auto"/>
        </w:rPr>
      </w:pPr>
      <w:r>
        <w:rPr>
          <w:rFonts w:ascii="Calibri" w:cs="Calibri" w:eastAsia="Calibri" w:hAnsi="Calibri"/>
          <w:sz w:val="20"/>
          <w:szCs w:val="20"/>
          <w:color w:val="auto"/>
        </w:rPr>
        <w:t>For informaton concerning these and other risks and uncertaintes, see LII’s publicly available flings with the Securites and Exchange Commission. LII disclaims any intenton or obligaton to update or revise any forward-looking statements, whether as a result of new informaton, future events or otherwise, except as required by law.</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A reconciliaton of non-GAAP fnancial measures appearing in this document to fnancial measures prepared in accordance with U.S.</w:t>
      </w:r>
    </w:p>
    <w:p>
      <w:pPr>
        <w:spacing w:after="0" w:line="225" w:lineRule="auto"/>
        <w:rPr>
          <w:sz w:val="20"/>
          <w:szCs w:val="20"/>
          <w:color w:val="auto"/>
        </w:rPr>
      </w:pPr>
      <w:r>
        <w:rPr>
          <w:rFonts w:ascii="Calibri" w:cs="Calibri" w:eastAsia="Calibri" w:hAnsi="Calibri"/>
          <w:sz w:val="20"/>
          <w:szCs w:val="20"/>
          <w:color w:val="auto"/>
        </w:rPr>
        <w:t>Generally Accepted Accountng Principles (GAAP) are included in the Annex to this document.</w:t>
      </w:r>
    </w:p>
    <w:p>
      <w:pPr>
        <w:spacing w:after="0" w:line="252" w:lineRule="exact"/>
        <w:rPr>
          <w:sz w:val="20"/>
          <w:szCs w:val="20"/>
          <w:color w:val="auto"/>
        </w:rPr>
      </w:pPr>
    </w:p>
    <w:p>
      <w:pPr>
        <w:ind w:right="500"/>
        <w:spacing w:after="0" w:line="228" w:lineRule="auto"/>
        <w:rPr>
          <w:sz w:val="20"/>
          <w:szCs w:val="20"/>
          <w:color w:val="auto"/>
        </w:rPr>
      </w:pPr>
      <w:r>
        <w:rPr>
          <w:rFonts w:ascii="Calibri" w:cs="Calibri" w:eastAsia="Calibri" w:hAnsi="Calibri"/>
          <w:sz w:val="20"/>
          <w:szCs w:val="20"/>
          <w:color w:val="auto"/>
        </w:rPr>
        <w:t>This document includes forward-looking statements regarding core revenue, segment proft, adjusted segment proft, adjusted net income, adjusted diluted earnings per share, free cash fow, and Debt to EBITDA, which are</w:t>
      </w:r>
    </w:p>
    <w:p>
      <w:pPr>
        <w:sectPr>
          <w:pgSz w:w="11900" w:h="16838" w:orient="portrait"/>
          <w:cols w:equalWidth="0" w:num="1">
            <w:col w:w="11220"/>
          </w:cols>
          <w:pgMar w:left="320" w:top="1440" w:right="359" w:bottom="1440" w:gutter="0" w:footer="0" w:header="0"/>
        </w:sectPr>
      </w:pPr>
    </w:p>
    <w:bookmarkStart w:id="6" w:name="page7"/>
    <w:bookmarkEnd w:id="6"/>
    <w:p>
      <w:pPr>
        <w:spacing w:after="0" w:line="233" w:lineRule="auto"/>
        <w:rPr>
          <w:sz w:val="20"/>
          <w:szCs w:val="20"/>
          <w:color w:val="auto"/>
        </w:rPr>
      </w:pPr>
      <w:r>
        <w:rPr>
          <w:rFonts w:ascii="Calibri" w:cs="Calibri" w:eastAsia="Calibri" w:hAnsi="Calibri"/>
          <w:sz w:val="20"/>
          <w:szCs w:val="20"/>
          <w:color w:val="auto"/>
        </w:rPr>
        <w:t>non-GAAP fnancial measures. These non-GAAP fnancial measures are derived by excluding certain amounts from the corresponding fnancial measures determined in accordance with GAAP. The determinaton of the amounts excluded is a mater of management judgment and depends upon, among other factors, the nature of the underlying expense or income amounts recognized in a given period and the high variability of certain amounts, such as unusual gains and losses, the ultmate outcome of pending litgaton, fuctuatons in foreign currency exchange rates, changes in environmental liabilites, the impact and tming of potental acquisitons and divesttures, future restructuring costs, and other structural changes or their probable signifcance. Core revenue, adjusted segment proft, and adjusted diluted earnings per share exclude net sales and proft/(loss) from our European portolio, which was sold in 4Q 2023. We are unable to present a quanttatve reconciliaton of the aforementoned forward-looking non-GAAP fnancial measures to their most directly comparable forward-looking GAAP fnancial measures because such informaton is not available, and management cannot reliably predict the necessary components of such GAAP measures without unreasonable efort or expense. The unavailable informaton could have a signifcant impact on LII’s full year GAAP fnancial results.</w:t>
      </w:r>
    </w:p>
    <w:p>
      <w:pPr>
        <w:sectPr>
          <w:pgSz w:w="11900" w:h="16838" w:orient="portrait"/>
          <w:cols w:equalWidth="0" w:num="1">
            <w:col w:w="11100"/>
          </w:cols>
          <w:pgMar w:left="320" w:top="763"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240" w:type="dxa"/>
            <w:vAlign w:val="bottom"/>
          </w:tcPr>
          <w:p>
            <w:pPr>
              <w:spacing w:after="0"/>
              <w:rPr>
                <w:sz w:val="16"/>
                <w:szCs w:val="16"/>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c>
          <w:tcPr>
            <w:tcW w:w="0" w:type="dxa"/>
            <w:vAlign w:val="bottom"/>
          </w:tcPr>
          <w:p>
            <w:pPr>
              <w:spacing w:after="0"/>
              <w:rPr>
                <w:sz w:val="1"/>
                <w:szCs w:val="1"/>
                <w:color w:val="auto"/>
              </w:rPr>
            </w:pPr>
          </w:p>
        </w:tc>
      </w:tr>
      <w:tr>
        <w:trPr>
          <w:trHeight w:val="214"/>
        </w:trPr>
        <w:tc>
          <w:tcPr>
            <w:tcW w:w="53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3,827.1</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other expenses,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on assets held for sale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604.8</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0" w:type="dxa"/>
            <w:vAlign w:val="bottom"/>
          </w:tcPr>
          <w:p>
            <w:pPr>
              <w:spacing w:after="0"/>
              <w:rPr>
                <w:sz w:val="1"/>
                <w:szCs w:val="1"/>
                <w:color w:val="auto"/>
              </w:rPr>
            </w:pPr>
          </w:p>
        </w:tc>
      </w:tr>
    </w:tbl>
    <w:p>
      <w:pPr>
        <w:sectPr>
          <w:pgSz w:w="11900" w:h="16838" w:orient="portrait"/>
          <w:cols w:equalWidth="0" w:num="1">
            <w:col w:w="11040"/>
          </w:cols>
          <w:pgMar w:left="420" w:top="765"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LENNOX INTERNATIONAL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Segment Net Sales and Profit (Loss)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20" w:type="dxa"/>
            <w:vAlign w:val="bottom"/>
          </w:tcPr>
          <w:p>
            <w:pPr>
              <w:spacing w:after="0"/>
              <w:rPr>
                <w:sz w:val="18"/>
                <w:szCs w:val="18"/>
                <w:color w:val="auto"/>
              </w:rPr>
            </w:pPr>
          </w:p>
        </w:tc>
        <w:tc>
          <w:tcPr>
            <w:tcW w:w="234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8"/>
                <w:szCs w:val="18"/>
                <w:color w:val="auto"/>
              </w:rPr>
            </w:pPr>
          </w:p>
        </w:tc>
        <w:tc>
          <w:tcPr>
            <w:tcW w:w="2160" w:type="dxa"/>
            <w:vAlign w:val="bottom"/>
            <w:gridSpan w:val="4"/>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60"/>
        </w:trPr>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4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21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16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sales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net assets held for sale</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w w:val="99"/>
              </w:rPr>
              <w:t xml:space="preserve">Items in Losses and other expenses, net which are excluded from segment profit (loss) </w:t>
            </w:r>
            <w:r>
              <w:rPr>
                <w:rFonts w:ascii="Times New Roman" w:cs="Times New Roman" w:eastAsia="Times New Roman" w:hAnsi="Times New Roman"/>
                <w:sz w:val="23"/>
                <w:szCs w:val="23"/>
                <w:color w:val="auto"/>
                <w:w w:val="99"/>
                <w:vertAlign w:val="superscript"/>
              </w:rPr>
              <w:t>(2)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hanging="169"/>
        <w:spacing w:after="0" w:line="229" w:lineRule="auto"/>
        <w:tabs>
          <w:tab w:leader="none" w:pos="43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Corporate and Other segment included our European portfolio. In the fourth quarter of 2023 we completed the divestiture of our European operations.</w:t>
      </w:r>
    </w:p>
    <w:p>
      <w:pPr>
        <w:spacing w:after="0" w:line="144" w:lineRule="exact"/>
        <w:rPr>
          <w:rFonts w:ascii="Times New Roman" w:cs="Times New Roman" w:eastAsia="Times New Roman" w:hAnsi="Times New Roman"/>
          <w:sz w:val="23"/>
          <w:szCs w:val="23"/>
          <w:color w:val="auto"/>
          <w:vertAlign w:val="superscript"/>
        </w:rPr>
      </w:pPr>
    </w:p>
    <w:p>
      <w:pPr>
        <w:ind w:left="420" w:hanging="169"/>
        <w:spacing w:after="0" w:line="229" w:lineRule="auto"/>
        <w:tabs>
          <w:tab w:leader="none" w:pos="45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define segment profit (loss) as a segment's operating income (loss) included in the accompanying Consolidated Statements of Operations, excluding:</w:t>
      </w:r>
    </w:p>
    <w:p>
      <w:pPr>
        <w:ind w:left="740" w:hanging="246"/>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and other expenses, net:</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losses (gains) on unsettled futures contracts,</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 and;</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on assets held for sale, and;</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previous dispositions</w:t>
      </w:r>
    </w:p>
    <w:p>
      <w:pPr>
        <w:sectPr>
          <w:pgSz w:w="11900" w:h="16838" w:orient="portrait"/>
          <w:cols w:equalWidth="0" w:num="1">
            <w:col w:w="11240"/>
          </w:cols>
          <w:pgMar w:left="320" w:top="802"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00" w:type="dxa"/>
            <w:vAlign w:val="bottom"/>
          </w:tcPr>
          <w:p>
            <w:pPr>
              <w:spacing w:after="0"/>
              <w:rPr>
                <w:sz w:val="18"/>
                <w:szCs w:val="18"/>
                <w:color w:val="auto"/>
              </w:rPr>
            </w:pPr>
          </w:p>
        </w:tc>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00" w:type="dxa"/>
            <w:vAlign w:val="bottom"/>
          </w:tcPr>
          <w:p>
            <w:pPr>
              <w:spacing w:after="0"/>
              <w:rPr>
                <w:sz w:val="18"/>
                <w:szCs w:val="18"/>
                <w:color w:val="auto"/>
              </w:rPr>
            </w:pPr>
          </w:p>
        </w:tc>
        <w:tc>
          <w:tcPr>
            <w:tcW w:w="21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243.1</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167"/>
        </w:trPr>
        <w:tc>
          <w:tcPr>
            <w:tcW w:w="632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Accounts and notes receivable, net of allowances of $16.2 and $14.4 in 2024 and 2023,</w:t>
            </w:r>
          </w:p>
        </w:tc>
        <w:tc>
          <w:tcPr>
            <w:tcW w:w="200" w:type="dxa"/>
            <w:vAlign w:val="bottom"/>
          </w:tcPr>
          <w:p>
            <w:pPr>
              <w:spacing w:after="0"/>
              <w:rPr>
                <w:sz w:val="14"/>
                <w:szCs w:val="14"/>
                <w:color w:val="auto"/>
              </w:rPr>
            </w:pP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816.5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594.6</w:t>
            </w:r>
          </w:p>
        </w:tc>
        <w:tc>
          <w:tcPr>
            <w:tcW w:w="0" w:type="dxa"/>
            <w:vAlign w:val="bottom"/>
          </w:tcPr>
          <w:p>
            <w:pPr>
              <w:spacing w:after="0"/>
              <w:rPr>
                <w:sz w:val="1"/>
                <w:szCs w:val="1"/>
                <w:color w:val="auto"/>
              </w:rPr>
            </w:pPr>
          </w:p>
        </w:tc>
      </w:tr>
      <w:tr>
        <w:trPr>
          <w:trHeight w:val="223"/>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tcPr>
          <w:p>
            <w:pPr>
              <w:spacing w:after="0"/>
              <w:rPr>
                <w:sz w:val="19"/>
                <w:szCs w:val="19"/>
                <w:color w:val="auto"/>
              </w:rPr>
            </w:pPr>
          </w:p>
        </w:tc>
        <w:tc>
          <w:tcPr>
            <w:tcW w:w="2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699.1</w:t>
            </w:r>
          </w:p>
        </w:tc>
        <w:tc>
          <w:tcPr>
            <w:tcW w:w="0" w:type="dxa"/>
            <w:vAlign w:val="bottom"/>
          </w:tcPr>
          <w:p>
            <w:pPr>
              <w:spacing w:after="0"/>
              <w:rPr>
                <w:sz w:val="1"/>
                <w:szCs w:val="1"/>
                <w:color w:val="auto"/>
              </w:rPr>
            </w:pPr>
          </w:p>
        </w:tc>
      </w:tr>
      <w:tr>
        <w:trPr>
          <w:trHeight w:val="226"/>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1,433.5</w:t>
            </w:r>
          </w:p>
        </w:tc>
        <w:tc>
          <w:tcPr>
            <w:tcW w:w="0" w:type="dxa"/>
            <w:vAlign w:val="bottom"/>
          </w:tcPr>
          <w:p>
            <w:pPr>
              <w:spacing w:after="0"/>
              <w:rPr>
                <w:sz w:val="1"/>
                <w:szCs w:val="1"/>
                <w:color w:val="auto"/>
              </w:rPr>
            </w:pPr>
          </w:p>
        </w:tc>
      </w:tr>
      <w:tr>
        <w:trPr>
          <w:trHeight w:val="167"/>
        </w:trPr>
        <w:tc>
          <w:tcPr>
            <w:tcW w:w="6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$952.6 and $910.8 in</w:t>
            </w:r>
          </w:p>
        </w:tc>
        <w:tc>
          <w:tcPr>
            <w:tcW w:w="200" w:type="dxa"/>
            <w:vAlign w:val="bottom"/>
          </w:tcPr>
          <w:p>
            <w:pPr>
              <w:spacing w:after="0"/>
              <w:rPr>
                <w:sz w:val="14"/>
                <w:szCs w:val="14"/>
                <w:color w:val="auto"/>
              </w:rPr>
            </w:pP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720.4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 and 2023, respectively</w:t>
            </w:r>
          </w:p>
        </w:tc>
        <w:tc>
          <w:tcPr>
            <w:tcW w:w="200" w:type="dxa"/>
            <w:vAlign w:val="bottom"/>
          </w:tcPr>
          <w:p>
            <w:pPr>
              <w:spacing w:after="0"/>
              <w:rPr>
                <w:sz w:val="19"/>
                <w:szCs w:val="19"/>
                <w:color w:val="auto"/>
              </w:rPr>
            </w:pPr>
          </w:p>
        </w:tc>
        <w:tc>
          <w:tcPr>
            <w:tcW w:w="2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0" w:type="dxa"/>
            <w:vAlign w:val="bottom"/>
          </w:tcPr>
          <w:p>
            <w:pPr>
              <w:spacing w:after="0"/>
              <w:rPr>
                <w:sz w:val="1"/>
                <w:szCs w:val="1"/>
                <w:color w:val="auto"/>
              </w:rPr>
            </w:pP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2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2,798.3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0" w:type="dxa"/>
            <w:vAlign w:val="bottom"/>
          </w:tcPr>
          <w:p>
            <w:pPr>
              <w:spacing w:after="0"/>
              <w:rPr>
                <w:sz w:val="1"/>
                <w:szCs w:val="1"/>
                <w:color w:val="auto"/>
              </w:rPr>
            </w:pPr>
          </w:p>
        </w:tc>
      </w:tr>
      <w:tr>
        <w:trPr>
          <w:trHeight w:val="226"/>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6"/>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00" w:type="dxa"/>
            <w:vAlign w:val="bottom"/>
          </w:tcPr>
          <w:p>
            <w:pPr>
              <w:spacing w:after="0"/>
              <w:rPr>
                <w:sz w:val="19"/>
                <w:szCs w:val="19"/>
                <w:color w:val="auto"/>
              </w:rPr>
            </w:pPr>
          </w:p>
        </w:tc>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26"/>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1,014.6</w:t>
            </w:r>
          </w:p>
        </w:tc>
        <w:tc>
          <w:tcPr>
            <w:tcW w:w="0" w:type="dxa"/>
            <w:vAlign w:val="bottom"/>
          </w:tcPr>
          <w:p>
            <w:pPr>
              <w:spacing w:after="0"/>
              <w:rPr>
                <w:sz w:val="1"/>
                <w:szCs w:val="1"/>
                <w:color w:val="auto"/>
              </w:rPr>
            </w:pP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1,143.1</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0" w:type="dxa"/>
            <w:vAlign w:val="bottom"/>
          </w:tcPr>
          <w:p>
            <w:pPr>
              <w:spacing w:after="0"/>
              <w:rPr>
                <w:sz w:val="1"/>
                <w:szCs w:val="1"/>
                <w:color w:val="auto"/>
              </w:rPr>
            </w:pP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0" w:type="dxa"/>
            <w:vAlign w:val="bottom"/>
          </w:tcPr>
          <w:p>
            <w:pPr>
              <w:spacing w:after="0"/>
              <w:rPr>
                <w:sz w:val="1"/>
                <w:szCs w:val="1"/>
                <w:color w:val="auto"/>
              </w:rPr>
            </w:pPr>
          </w:p>
        </w:tc>
      </w:tr>
      <w:tr>
        <w:trPr>
          <w:trHeight w:val="221"/>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2,559.2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2,513.0</w:t>
            </w: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32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w:t>
            </w:r>
          </w:p>
        </w:tc>
        <w:tc>
          <w:tcPr>
            <w:tcW w:w="200" w:type="dxa"/>
            <w:vAlign w:val="bottom"/>
            <w:shd w:val="clear" w:color="auto" w:fill="CCEEFF"/>
          </w:tcPr>
          <w:p>
            <w:pPr>
              <w:spacing w:after="0"/>
              <w:rPr>
                <w:sz w:val="14"/>
                <w:szCs w:val="14"/>
                <w:color w:val="auto"/>
              </w:rPr>
            </w:pPr>
          </w:p>
        </w:tc>
        <w:tc>
          <w:tcPr>
            <w:tcW w:w="2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2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outstanding</w:t>
            </w:r>
          </w:p>
        </w:tc>
        <w:tc>
          <w:tcPr>
            <w:tcW w:w="200" w:type="dxa"/>
            <w:vAlign w:val="bottom"/>
            <w:shd w:val="clear" w:color="auto" w:fill="CCEEFF"/>
          </w:tcPr>
          <w:p>
            <w:pPr>
              <w:spacing w:after="0"/>
              <w:rPr>
                <w:sz w:val="19"/>
                <w:szCs w:val="19"/>
                <w:color w:val="auto"/>
              </w:rPr>
            </w:pPr>
          </w:p>
        </w:tc>
        <w:tc>
          <w:tcPr>
            <w:tcW w:w="22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1,184.6</w:t>
            </w:r>
          </w:p>
        </w:tc>
        <w:tc>
          <w:tcPr>
            <w:tcW w:w="0" w:type="dxa"/>
            <w:vAlign w:val="bottom"/>
          </w:tcPr>
          <w:p>
            <w:pPr>
              <w:spacing w:after="0"/>
              <w:rPr>
                <w:sz w:val="1"/>
                <w:szCs w:val="1"/>
                <w:color w:val="auto"/>
              </w:rPr>
            </w:pPr>
          </w:p>
        </w:tc>
      </w:tr>
      <w:tr>
        <w:trPr>
          <w:trHeight w:val="226"/>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3,506.2</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167"/>
        </w:trPr>
        <w:tc>
          <w:tcPr>
            <w:tcW w:w="632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Treasury stock, at cost, 51,537,964 shares and 51,588,103 shares for 2024 and 2023,</w:t>
            </w:r>
          </w:p>
        </w:tc>
        <w:tc>
          <w:tcPr>
            <w:tcW w:w="200" w:type="dxa"/>
            <w:vAlign w:val="bottom"/>
          </w:tcPr>
          <w:p>
            <w:pPr>
              <w:spacing w:after="0"/>
              <w:rPr>
                <w:sz w:val="14"/>
                <w:szCs w:val="14"/>
                <w:color w:val="auto"/>
              </w:rPr>
            </w:pP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(4,375.1)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(4,349.5)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285.3</w:t>
            </w:r>
          </w:p>
        </w:tc>
        <w:tc>
          <w:tcPr>
            <w:tcW w:w="0" w:type="dxa"/>
            <w:vAlign w:val="bottom"/>
          </w:tcPr>
          <w:p>
            <w:pPr>
              <w:spacing w:after="0"/>
              <w:rPr>
                <w:sz w:val="1"/>
                <w:szCs w:val="1"/>
                <w:color w:val="auto"/>
              </w:rPr>
            </w:pPr>
          </w:p>
        </w:tc>
      </w:tr>
      <w:tr>
        <w:trPr>
          <w:trHeight w:val="221"/>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3,313.2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2,798.3</w:t>
            </w:r>
          </w:p>
        </w:tc>
        <w:tc>
          <w:tcPr>
            <w:tcW w:w="0" w:type="dxa"/>
            <w:vAlign w:val="bottom"/>
          </w:tcPr>
          <w:p>
            <w:pPr>
              <w:spacing w:after="0"/>
              <w:rPr>
                <w:sz w:val="1"/>
                <w:szCs w:val="1"/>
                <w:color w:val="auto"/>
              </w:rPr>
            </w:pPr>
          </w:p>
        </w:tc>
      </w:tr>
      <w:tr>
        <w:trPr>
          <w:trHeight w:val="22"/>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08" w:right="3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14"/>
        </w:trPr>
        <w:tc>
          <w:tcPr>
            <w:tcW w:w="7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on sale from previous dispositions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1"/>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Dividends from affiliates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Impairment on assets held for sale</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11"/>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Unrealized (gains) losses, net on derivative contracts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1"/>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11"/>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Pension expense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1"/>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Pension contributions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items, net</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 net of effects of acquisitions and divestitures: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and notes receivable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11"/>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1"/>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 payable and receivable,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1"/>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Leases,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6"/>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613.3</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429.9</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investing activities: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the disposal of property, plant and equipment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0" w:type="dxa"/>
            <w:vAlign w:val="bottom"/>
          </w:tcPr>
          <w:p>
            <w:pPr>
              <w:spacing w:after="0"/>
              <w:rPr>
                <w:sz w:val="1"/>
                <w:szCs w:val="1"/>
                <w:color w:val="auto"/>
              </w:rPr>
            </w:pPr>
          </w:p>
        </w:tc>
      </w:tr>
      <w:tr>
        <w:trPr>
          <w:trHeight w:val="213"/>
        </w:trPr>
        <w:tc>
          <w:tcPr>
            <w:tcW w:w="7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previous disposition</w:t>
            </w:r>
          </w:p>
        </w:tc>
        <w:tc>
          <w:tcPr>
            <w:tcW w:w="24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Acquisitions, net of cash</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(124.5)</w:t>
            </w: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financing activities: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Commercial paper borrowings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Commercial paper payments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Borrowings from debt arrangements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1,737.5</w:t>
            </w:r>
          </w:p>
        </w:tc>
        <w:tc>
          <w:tcPr>
            <w:tcW w:w="0" w:type="dxa"/>
            <w:vAlign w:val="bottom"/>
          </w:tcPr>
          <w:p>
            <w:pPr>
              <w:spacing w:after="0"/>
              <w:rPr>
                <w:sz w:val="1"/>
                <w:szCs w:val="1"/>
                <w:color w:val="auto"/>
              </w:rPr>
            </w:pPr>
          </w:p>
        </w:tc>
      </w:tr>
      <w:tr>
        <w:trPr>
          <w:trHeight w:val="211"/>
        </w:trPr>
        <w:tc>
          <w:tcPr>
            <w:tcW w:w="7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on debt arrangements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(2,290.1)</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Issuance of senior unsecured notes</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1"/>
        </w:trPr>
        <w:tc>
          <w:tcPr>
            <w:tcW w:w="7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2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1"/>
        </w:trPr>
        <w:tc>
          <w:tcPr>
            <w:tcW w:w="7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Repurchases of common stock to satisfy employee withholding tax obligations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1"/>
        </w:trPr>
        <w:tc>
          <w:tcPr>
            <w:tcW w:w="7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Cash dividends paid</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(327.4)</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(215.6)</w:t>
            </w:r>
          </w:p>
        </w:tc>
        <w:tc>
          <w:tcPr>
            <w:tcW w:w="0" w:type="dxa"/>
            <w:vAlign w:val="bottom"/>
          </w:tcPr>
          <w:p>
            <w:pPr>
              <w:spacing w:after="0"/>
              <w:rPr>
                <w:sz w:val="1"/>
                <w:szCs w:val="1"/>
                <w:color w:val="auto"/>
              </w:rPr>
            </w:pPr>
          </w:p>
        </w:tc>
      </w:tr>
      <w:tr>
        <w:trPr>
          <w:trHeight w:val="205"/>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balances classified as assets held for sale</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1"/>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21"/>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06"/>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243.1</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132.0</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7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2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0" w:type="dxa"/>
            <w:vAlign w:val="bottom"/>
          </w:tcPr>
          <w:p>
            <w:pPr>
              <w:spacing w:after="0"/>
              <w:rPr>
                <w:sz w:val="1"/>
                <w:szCs w:val="1"/>
                <w:color w:val="auto"/>
              </w:rPr>
            </w:pPr>
          </w:p>
        </w:tc>
      </w:tr>
      <w:tr>
        <w:trPr>
          <w:trHeight w:val="25"/>
        </w:trPr>
        <w:tc>
          <w:tcPr>
            <w:tcW w:w="7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603" w:right="359" w:bottom="1440" w:gutter="0" w:footer="0" w:header="0"/>
        </w:sectPr>
      </w:pPr>
    </w:p>
    <w:bookmarkStart w:id="11" w:name="page12"/>
    <w:bookmarkEnd w:id="11"/>
    <w:p>
      <w:pPr>
        <w:jc w:val="center"/>
        <w:spacing w:after="0" w:line="281" w:lineRule="auto"/>
        <w:rPr>
          <w:sz w:val="20"/>
          <w:szCs w:val="20"/>
          <w:color w:val="auto"/>
        </w:rPr>
      </w:pPr>
      <w:r>
        <w:rPr>
          <w:rFonts w:ascii="Times New Roman" w:cs="Times New Roman" w:eastAsia="Times New Roman" w:hAnsi="Times New Roman"/>
          <w:sz w:val="17"/>
          <w:szCs w:val="17"/>
          <w:b w:val="1"/>
          <w:bCs w:val="1"/>
          <w:color w:val="auto"/>
        </w:rPr>
        <w:t>LENNOX INTERNATIONAL INC. AND SUBSIDIARIES Reconciliation to U.S. GAAP (Generally Accepted Accounting Principles) Measures (Unaudited, in millions, except per share and ratio data)</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Use of Non-GAAP Financial Measures</w:t>
      </w:r>
    </w:p>
    <w:p>
      <w:pPr>
        <w:spacing w:after="0" w:line="46" w:lineRule="exact"/>
        <w:rPr>
          <w:sz w:val="20"/>
          <w:szCs w:val="20"/>
          <w:color w:val="auto"/>
        </w:rPr>
      </w:pPr>
    </w:p>
    <w:p>
      <w:pPr>
        <w:ind w:left="20" w:right="60"/>
        <w:spacing w:after="0" w:line="227" w:lineRule="auto"/>
        <w:rPr>
          <w:sz w:val="20"/>
          <w:szCs w:val="20"/>
          <w:color w:val="auto"/>
        </w:rPr>
      </w:pPr>
      <w:r>
        <w:rPr>
          <w:rFonts w:ascii="Times New Roman" w:cs="Times New Roman" w:eastAsia="Times New Roman" w:hAnsi="Times New Roman"/>
          <w:sz w:val="16"/>
          <w:szCs w:val="16"/>
          <w:color w:val="auto"/>
        </w:rPr>
        <w:t>To supplement the Company's consolidated financial statements and segment net sales and profit (loss) presented in accordance with U.S. GAAP, additional non-GAAP financial measures are provided and reconciled in the following tables. The Company believes that these non-GAAP financial measures, when considered together with the GAAP financial measures, provide information that is useful to investors in understanding period-over-period operating results and enhance the ability of investors to analyze the Company's business trends and operating performance.</w:t>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Net income, a GAAP measure, to Adjusted net income, a Non-GAAP measure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080" w:type="dxa"/>
            <w:vAlign w:val="bottom"/>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gridSpan w:val="3"/>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2"/>
                <w:szCs w:val="12"/>
                <w:color w:val="auto"/>
              </w:rPr>
            </w:pPr>
          </w:p>
        </w:tc>
        <w:tc>
          <w:tcPr>
            <w:tcW w:w="62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5"/>
                <w:szCs w:val="15"/>
                <w:b w:val="1"/>
                <w:bCs w:val="1"/>
                <w:color w:val="auto"/>
                <w:w w:val="97"/>
              </w:rPr>
              <w:t>Per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5"/>
                <w:szCs w:val="15"/>
                <w:b w:val="1"/>
                <w:bCs w:val="1"/>
                <w:color w:val="auto"/>
              </w:rPr>
              <w:t>Per Diluted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2"/>
                <w:szCs w:val="12"/>
                <w:color w:val="auto"/>
              </w:rPr>
            </w:pPr>
          </w:p>
        </w:tc>
        <w:tc>
          <w:tcPr>
            <w:tcW w:w="620" w:type="dxa"/>
            <w:vAlign w:val="bottom"/>
          </w:tcPr>
          <w:p>
            <w:pPr>
              <w:jc w:val="center"/>
              <w:ind w:right="18"/>
              <w:spacing w:after="0" w:line="142" w:lineRule="exact"/>
              <w:rPr>
                <w:sz w:val="20"/>
                <w:szCs w:val="20"/>
                <w:color w:val="auto"/>
              </w:rPr>
            </w:pPr>
            <w:r>
              <w:rPr>
                <w:rFonts w:ascii="Times New Roman" w:cs="Times New Roman" w:eastAsia="Times New Roman" w:hAnsi="Times New Roman"/>
                <w:sz w:val="15"/>
                <w:szCs w:val="15"/>
                <w:b w:val="1"/>
                <w:bCs w:val="1"/>
                <w:color w:val="auto"/>
              </w:rPr>
              <w:t>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2"/>
                <w:szCs w:val="12"/>
                <w:color w:val="auto"/>
              </w:rPr>
            </w:pPr>
          </w:p>
        </w:tc>
        <w:tc>
          <w:tcPr>
            <w:tcW w:w="54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5"/>
                <w:szCs w:val="15"/>
                <w:b w:val="1"/>
                <w:bCs w:val="1"/>
                <w:color w:val="auto"/>
                <w:w w:val="97"/>
              </w:rPr>
              <w:t>Per</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Diluted</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5"/>
                <w:szCs w:val="15"/>
                <w:b w:val="1"/>
                <w:bCs w:val="1"/>
                <w:color w:val="auto"/>
              </w:rPr>
              <w:t>Share</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Diluted</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Diluted</w:t>
            </w: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w w:val="98"/>
              </w:rPr>
              <w:t>after tax</w:t>
            </w:r>
          </w:p>
        </w:tc>
        <w:tc>
          <w:tcPr>
            <w:tcW w:w="14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40" w:type="dxa"/>
            <w:vAlign w:val="bottom"/>
          </w:tcPr>
          <w:p>
            <w:pPr>
              <w:spacing w:after="0"/>
              <w:rPr>
                <w:sz w:val="18"/>
                <w:szCs w:val="18"/>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after tax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w w:val="98"/>
              </w:rPr>
              <w:t>after tax</w:t>
            </w:r>
          </w:p>
        </w:tc>
        <w:tc>
          <w:tcPr>
            <w:tcW w:w="12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00" w:type="dxa"/>
            <w:vAlign w:val="bottom"/>
          </w:tcPr>
          <w:p>
            <w:pPr>
              <w:spacing w:after="0"/>
              <w:rPr>
                <w:sz w:val="18"/>
                <w:szCs w:val="18"/>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w w:val="98"/>
              </w:rPr>
              <w:t>after tax</w:t>
            </w:r>
          </w:p>
        </w:tc>
        <w:tc>
          <w:tcPr>
            <w:tcW w:w="140" w:type="dxa"/>
            <w:vAlign w:val="bottom"/>
          </w:tcPr>
          <w:p>
            <w:pPr>
              <w:spacing w:after="0"/>
              <w:rPr>
                <w:sz w:val="18"/>
                <w:szCs w:val="18"/>
                <w:color w:val="auto"/>
              </w:rPr>
            </w:pPr>
          </w:p>
        </w:tc>
        <w:tc>
          <w:tcPr>
            <w:tcW w:w="54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rPr>
              <w:t>Share</w:t>
            </w:r>
          </w:p>
        </w:tc>
        <w:tc>
          <w:tcPr>
            <w:tcW w:w="0" w:type="dxa"/>
            <w:vAlign w:val="bottom"/>
          </w:tcPr>
          <w:p>
            <w:pPr>
              <w:spacing w:after="0"/>
              <w:rPr>
                <w:sz w:val="1"/>
                <w:szCs w:val="1"/>
                <w:color w:val="auto"/>
              </w:rPr>
            </w:pPr>
          </w:p>
        </w:tc>
      </w:tr>
      <w:tr>
        <w:trPr>
          <w:trHeight w:val="227"/>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 GAAP measure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239.0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130.4</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609.2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445.6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12.51</w:t>
            </w:r>
          </w:p>
        </w:tc>
        <w:tc>
          <w:tcPr>
            <w:tcW w:w="0" w:type="dxa"/>
            <w:vAlign w:val="bottom"/>
          </w:tcPr>
          <w:p>
            <w:pPr>
              <w:spacing w:after="0"/>
              <w:rPr>
                <w:sz w:val="1"/>
                <w:szCs w:val="1"/>
                <w:color w:val="auto"/>
              </w:rPr>
            </w:pPr>
          </w:p>
        </w:tc>
      </w:tr>
      <w:tr>
        <w:trPr>
          <w:trHeight w:val="227"/>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32"/>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sale from previous dispositions</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Pension settlements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171"/>
        </w:trPr>
        <w:tc>
          <w:tcPr>
            <w:tcW w:w="466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Items in Losses and other expenses, net which are excluded from</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segment profit (loss) (a)</w:t>
            </w: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Excess tax benefit from share-based compensation (b)</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tax items, net (b)</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27"/>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Impairment on assets held for sale (c)</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Non-core business results (d)</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 a non-GAAP measure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191.6</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607.6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16.98</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510.9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180" w:hanging="147"/>
        <w:spacing w:after="0"/>
        <w:tabs>
          <w:tab w:leader="none" w:pos="1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Losses and other expenses, net in the Consolidated Statements of Operations</w:t>
      </w:r>
    </w:p>
    <w:p>
      <w:pPr>
        <w:spacing w:after="0" w:line="35" w:lineRule="exact"/>
        <w:rPr>
          <w:rFonts w:ascii="Times New Roman" w:cs="Times New Roman" w:eastAsia="Times New Roman" w:hAnsi="Times New Roman"/>
          <w:sz w:val="11"/>
          <w:szCs w:val="11"/>
          <w:color w:val="auto"/>
        </w:rPr>
      </w:pPr>
    </w:p>
    <w:p>
      <w:pPr>
        <w:ind w:left="180" w:hanging="147"/>
        <w:spacing w:after="0"/>
        <w:tabs>
          <w:tab w:leader="none" w:pos="1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Provision for income taxes in the Consolidated Statements of Operations</w:t>
      </w:r>
    </w:p>
    <w:p>
      <w:pPr>
        <w:spacing w:after="0" w:line="35" w:lineRule="exact"/>
        <w:rPr>
          <w:rFonts w:ascii="Times New Roman" w:cs="Times New Roman" w:eastAsia="Times New Roman" w:hAnsi="Times New Roman"/>
          <w:sz w:val="11"/>
          <w:szCs w:val="11"/>
          <w:color w:val="auto"/>
        </w:rPr>
      </w:pPr>
    </w:p>
    <w:p>
      <w:pPr>
        <w:ind w:left="180" w:hanging="147"/>
        <w:spacing w:after="0"/>
        <w:tabs>
          <w:tab w:leader="none" w:pos="1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Impairment on assets held for sale relate to the divestiture of our European operations that was completed in the fourth quarter of 2023.</w:t>
      </w:r>
    </w:p>
    <w:p>
      <w:pPr>
        <w:spacing w:after="0" w:line="35" w:lineRule="exact"/>
        <w:rPr>
          <w:rFonts w:ascii="Times New Roman" w:cs="Times New Roman" w:eastAsia="Times New Roman" w:hAnsi="Times New Roman"/>
          <w:sz w:val="11"/>
          <w:szCs w:val="11"/>
          <w:color w:val="auto"/>
        </w:rPr>
      </w:pPr>
    </w:p>
    <w:p>
      <w:pPr>
        <w:ind w:left="180" w:hanging="147"/>
        <w:spacing w:after="0"/>
        <w:tabs>
          <w:tab w:leader="none" w:pos="1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Non-core business results represent activity related to our business operations in Europe not included elsewhere in the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-285115</wp:posOffset>
            </wp:positionV>
            <wp:extent cx="7115175"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-79375</wp:posOffset>
            </wp:positionV>
            <wp:extent cx="7115175"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Reconciliation of Net Cash Provided by Operating Activities, a GAAP measure, to Free Cash Flow, a Non-GAAP measure</w:t>
      </w:r>
    </w:p>
    <w:p>
      <w:pPr>
        <w:spacing w:after="0" w:line="2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shd w:val="clear" w:color="auto" w:fill="CCEEFF"/>
          </w:tcPr>
          <w:p>
            <w:pPr>
              <w:spacing w:after="0"/>
              <w:rPr>
                <w:sz w:val="16"/>
                <w:szCs w:val="16"/>
                <w:color w:val="auto"/>
              </w:rPr>
            </w:pPr>
          </w:p>
        </w:tc>
        <w:tc>
          <w:tcPr>
            <w:tcW w:w="2160" w:type="dxa"/>
            <w:vAlign w:val="bottom"/>
            <w:gridSpan w:val="4"/>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r>
      <w:tr>
        <w:trPr>
          <w:trHeight w:val="226"/>
        </w:trPr>
        <w:tc>
          <w:tcPr>
            <w:tcW w:w="6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20" w:type="dxa"/>
            <w:vAlign w:val="bottom"/>
          </w:tcPr>
          <w:p>
            <w:pPr>
              <w:spacing w:after="0"/>
              <w:rPr>
                <w:sz w:val="19"/>
                <w:szCs w:val="19"/>
                <w:color w:val="auto"/>
              </w:rPr>
            </w:pPr>
          </w:p>
        </w:tc>
        <w:tc>
          <w:tcPr>
            <w:tcW w:w="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3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 a Non-GAAP measure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306.5</w:t>
            </w:r>
          </w:p>
        </w:tc>
      </w:tr>
      <w:tr>
        <w:trPr>
          <w:trHeight w:val="20"/>
        </w:trPr>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02" w:right="359" w:bottom="1440" w:gutter="0" w:footer="0" w:header="0"/>
        </w:sectPr>
      </w:pPr>
    </w:p>
    <w:bookmarkStart w:id="12" w:name="page13"/>
    <w:bookmarkEnd w:id="12"/>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Net sales, a GAAP measure to Core net sales, a Non-GAAP measure</w:t>
            </w: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620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660" w:type="dxa"/>
            <w:vAlign w:val="bottom"/>
            <w:shd w:val="clear" w:color="auto" w:fill="CCEEFF"/>
          </w:tcPr>
          <w:p>
            <w:pPr>
              <w:spacing w:after="0"/>
              <w:rPr>
                <w:sz w:val="19"/>
                <w:szCs w:val="19"/>
                <w:color w:val="auto"/>
              </w:rPr>
            </w:pPr>
          </w:p>
        </w:tc>
      </w:tr>
      <w:tr>
        <w:trPr>
          <w:trHeight w:val="214"/>
        </w:trPr>
        <w:tc>
          <w:tcPr>
            <w:tcW w:w="62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660" w:type="dxa"/>
            <w:vAlign w:val="bottom"/>
            <w:tcBorders>
              <w:bottom w:val="single" w:sz="8" w:color="auto"/>
            </w:tcBorders>
          </w:tcPr>
          <w:p>
            <w:pPr>
              <w:spacing w:after="0"/>
              <w:rPr>
                <w:sz w:val="18"/>
                <w:szCs w:val="18"/>
                <w:color w:val="auto"/>
              </w:rPr>
            </w:pPr>
          </w:p>
        </w:tc>
      </w:tr>
      <w:tr>
        <w:trPr>
          <w:trHeight w:val="211"/>
        </w:trPr>
        <w:tc>
          <w:tcPr>
            <w:tcW w:w="620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shd w:val="clear" w:color="auto" w:fill="CCEEFF"/>
          </w:tcPr>
          <w:p>
            <w:pPr>
              <w:spacing w:after="0"/>
              <w:rPr>
                <w:sz w:val="18"/>
                <w:szCs w:val="18"/>
                <w:color w:val="auto"/>
              </w:rPr>
            </w:pP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 a GAAP measure</w:t>
            </w:r>
          </w:p>
        </w:tc>
        <w:tc>
          <w:tcPr>
            <w:tcW w:w="1940" w:type="dxa"/>
            <w:vAlign w:val="bottom"/>
          </w:tcPr>
          <w:p>
            <w:pPr>
              <w:jc w:val="right"/>
              <w:ind w:right="1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40" w:type="dxa"/>
            <w:vAlign w:val="bottom"/>
          </w:tcPr>
          <w:p>
            <w:pPr>
              <w:spacing w:after="0"/>
              <w:rPr>
                <w:sz w:val="17"/>
                <w:szCs w:val="17"/>
                <w:color w:val="auto"/>
              </w:rPr>
            </w:pPr>
          </w:p>
        </w:tc>
        <w:tc>
          <w:tcPr>
            <w:tcW w:w="1760" w:type="dxa"/>
            <w:vAlign w:val="bottom"/>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1,366.3</w:t>
            </w: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from non-core businesses (a)</w:t>
            </w:r>
          </w:p>
        </w:tc>
        <w:tc>
          <w:tcPr>
            <w:tcW w:w="1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4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net sales, a Non-GAAP measure</w:t>
            </w:r>
          </w:p>
        </w:tc>
        <w:tc>
          <w:tcPr>
            <w:tcW w:w="1940" w:type="dxa"/>
            <w:vAlign w:val="bottom"/>
            <w:tcBorders>
              <w:bottom w:val="single" w:sz="8" w:color="auto"/>
            </w:tcBorders>
          </w:tcPr>
          <w:p>
            <w:pPr>
              <w:jc w:val="right"/>
              <w:ind w:right="1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760" w:type="dxa"/>
            <w:vAlign w:val="bottom"/>
            <w:tcBorders>
              <w:bottom w:val="single" w:sz="8" w:color="auto"/>
            </w:tcBorders>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1,301.8</w:t>
            </w:r>
          </w:p>
        </w:tc>
      </w:tr>
      <w:tr>
        <w:trPr>
          <w:trHeight w:val="21"/>
        </w:trPr>
        <w:tc>
          <w:tcPr>
            <w:tcW w:w="6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Non-Core businesses represent our business operations in Europe, which were sold in the fourth quarter of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Net sales, a GAAP measure to Core net sales, a Non-GAAP measure</w:t>
            </w: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20" w:type="dxa"/>
            <w:vAlign w:val="bottom"/>
          </w:tcPr>
          <w:p>
            <w:pPr>
              <w:spacing w:after="0"/>
              <w:rPr>
                <w:sz w:val="18"/>
                <w:szCs w:val="18"/>
                <w:color w:val="auto"/>
              </w:rPr>
            </w:pPr>
          </w:p>
        </w:tc>
        <w:tc>
          <w:tcPr>
            <w:tcW w:w="200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6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120" w:type="dxa"/>
            <w:vAlign w:val="bottom"/>
            <w:tcBorders>
              <w:top w:val="single" w:sz="8" w:color="auto"/>
              <w:bottom w:val="single" w:sz="8" w:color="auto"/>
            </w:tcBorders>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 a GAAP measure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4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3,827.1</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from non-core businesses (a)</w:t>
            </w:r>
          </w:p>
        </w:tc>
        <w:tc>
          <w:tcPr>
            <w:tcW w:w="2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net sales, a Non-GAAP measure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3,635.1</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 Non-Core businesses represent our business operations in Europe</w:t>
            </w: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6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87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Segment profit (loss), a Non-GAAP measure to Adjusted Segment profit (loss), a Non-GAAP measure</w:t>
            </w: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20" w:type="dxa"/>
            <w:vAlign w:val="bottom"/>
          </w:tcPr>
          <w:p>
            <w:pPr>
              <w:spacing w:after="0"/>
              <w:rPr>
                <w:sz w:val="18"/>
                <w:szCs w:val="18"/>
                <w:color w:val="auto"/>
              </w:rPr>
            </w:pPr>
          </w:p>
        </w:tc>
        <w:tc>
          <w:tcPr>
            <w:tcW w:w="200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6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120" w:type="dxa"/>
            <w:vAlign w:val="bottom"/>
            <w:tcBorders>
              <w:top w:val="single" w:sz="8" w:color="auto"/>
              <w:bottom w:val="single" w:sz="8" w:color="auto"/>
            </w:tcBorders>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profit (loss), a Non-GAAP measure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4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Profit from non-core businesses (a)</w:t>
            </w:r>
          </w:p>
        </w:tc>
        <w:tc>
          <w:tcPr>
            <w:tcW w:w="26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Segment profit (loss), a Non-GAAP measure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Non-Core businesses represent our business operations in Europe, which were sold in the fourth quarter of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Segment profit, a Non-GAAP measure to Adjusted Segment profit, a Non-GAAP measure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6200" w:type="dxa"/>
            <w:vAlign w:val="bottom"/>
            <w:shd w:val="clear" w:color="auto" w:fill="CCEEFF"/>
          </w:tcPr>
          <w:p>
            <w:pPr>
              <w:spacing w:after="0"/>
              <w:rPr>
                <w:sz w:val="19"/>
                <w:szCs w:val="19"/>
                <w:color w:val="auto"/>
              </w:rPr>
            </w:pPr>
          </w:p>
        </w:tc>
        <w:tc>
          <w:tcPr>
            <w:tcW w:w="4340" w:type="dxa"/>
            <w:vAlign w:val="bottom"/>
            <w:gridSpan w:val="4"/>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600" w:type="dxa"/>
            <w:vAlign w:val="bottom"/>
            <w:shd w:val="clear" w:color="auto" w:fill="CCEEFF"/>
          </w:tcPr>
          <w:p>
            <w:pPr>
              <w:spacing w:after="0"/>
              <w:rPr>
                <w:sz w:val="19"/>
                <w:szCs w:val="19"/>
                <w:color w:val="auto"/>
              </w:rPr>
            </w:pPr>
          </w:p>
        </w:tc>
      </w:tr>
      <w:tr>
        <w:trPr>
          <w:trHeight w:val="214"/>
        </w:trPr>
        <w:tc>
          <w:tcPr>
            <w:tcW w:w="62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600" w:type="dxa"/>
            <w:vAlign w:val="bottom"/>
            <w:tcBorders>
              <w:bottom w:val="single" w:sz="8" w:color="auto"/>
            </w:tcBorders>
          </w:tcPr>
          <w:p>
            <w:pPr>
              <w:spacing w:after="0"/>
              <w:rPr>
                <w:sz w:val="18"/>
                <w:szCs w:val="18"/>
                <w:color w:val="auto"/>
              </w:rPr>
            </w:pPr>
          </w:p>
        </w:tc>
      </w:tr>
      <w:tr>
        <w:trPr>
          <w:trHeight w:val="211"/>
        </w:trPr>
        <w:tc>
          <w:tcPr>
            <w:tcW w:w="620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shd w:val="clear" w:color="auto" w:fill="CCEEFF"/>
          </w:tcPr>
          <w:p>
            <w:pPr>
              <w:spacing w:after="0"/>
              <w:rPr>
                <w:sz w:val="18"/>
                <w:szCs w:val="18"/>
                <w:color w:val="auto"/>
              </w:rPr>
            </w:pPr>
          </w:p>
        </w:tc>
      </w:tr>
      <w:tr>
        <w:trPr>
          <w:trHeight w:val="20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profit (loss), a Non-GAAP measure</w:t>
            </w:r>
          </w:p>
        </w:tc>
        <w:tc>
          <w:tcPr>
            <w:tcW w:w="1940" w:type="dxa"/>
            <w:vAlign w:val="bottom"/>
          </w:tcPr>
          <w:p>
            <w:pPr>
              <w:jc w:val="right"/>
              <w:ind w:right="1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40" w:type="dxa"/>
            <w:vAlign w:val="bottom"/>
          </w:tcPr>
          <w:p>
            <w:pPr>
              <w:spacing w:after="0"/>
              <w:rPr>
                <w:sz w:val="17"/>
                <w:szCs w:val="17"/>
                <w:color w:val="auto"/>
              </w:rPr>
            </w:pPr>
          </w:p>
        </w:tc>
        <w:tc>
          <w:tcPr>
            <w:tcW w:w="1820" w:type="dxa"/>
            <w:vAlign w:val="bottom"/>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Profit from non-core businesses (a)</w:t>
            </w:r>
          </w:p>
        </w:tc>
        <w:tc>
          <w:tcPr>
            <w:tcW w:w="1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Segment profit (loss), a Non-GAAP measure</w:t>
            </w:r>
          </w:p>
        </w:tc>
        <w:tc>
          <w:tcPr>
            <w:tcW w:w="1940" w:type="dxa"/>
            <w:vAlign w:val="bottom"/>
            <w:tcBorders>
              <w:bottom w:val="single" w:sz="8" w:color="auto"/>
            </w:tcBorders>
          </w:tcPr>
          <w:p>
            <w:pPr>
              <w:jc w:val="right"/>
              <w:ind w:right="1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40" w:type="dxa"/>
            <w:vAlign w:val="bottom"/>
          </w:tcPr>
          <w:p>
            <w:pPr>
              <w:spacing w:after="0"/>
              <w:rPr>
                <w:sz w:val="18"/>
                <w:szCs w:val="18"/>
                <w:color w:val="auto"/>
              </w:rPr>
            </w:pPr>
          </w:p>
        </w:tc>
        <w:tc>
          <w:tcPr>
            <w:tcW w:w="1820" w:type="dxa"/>
            <w:vAlign w:val="bottom"/>
            <w:tcBorders>
              <w:bottom w:val="single" w:sz="8" w:color="auto"/>
            </w:tcBorders>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674.2</w:t>
            </w:r>
          </w:p>
        </w:tc>
      </w:tr>
      <w:tr>
        <w:trPr>
          <w:trHeight w:val="20"/>
        </w:trPr>
        <w:tc>
          <w:tcPr>
            <w:tcW w:w="6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Non-Core businesses represent our business operations in Europe</w:t>
      </w:r>
    </w:p>
    <w:p>
      <w:pPr>
        <w:sectPr>
          <w:pgSz w:w="11900" w:h="16838" w:orient="portrait"/>
          <w:cols w:equalWidth="0" w:num="1">
            <w:col w:w="11140"/>
          </w:cols>
          <w:pgMar w:left="320" w:top="1440" w:right="439" w:bottom="1440" w:gutter="0" w:footer="0" w:header="0"/>
        </w:sectPr>
      </w:pPr>
    </w:p>
    <w:bookmarkStart w:id="13" w:name="page14"/>
    <w:bookmarkEnd w:id="13"/>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Lennox Announces Chief Legal Officer Transition Plan</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DALLAS, October 23, 2024—Lennox (NYSE: LII) announced today that Executive Vice President, Chief Legal Officer and Secretary John Torres has elected to retire effective February 28, 2025, after a distinguished 16 years with the company. Monica Brown, Vice President and Deputy General Counsel, will succeed Torres as Executive Vice President, Chief Legal Officer and Secretary effective January 1, 2025. Torres’s continued availability through February 2025 will ensure a smooth leadership transition.</w:t>
      </w:r>
    </w:p>
    <w:p>
      <w:pPr>
        <w:spacing w:after="0" w:line="179" w:lineRule="exact"/>
        <w:rPr>
          <w:sz w:val="20"/>
          <w:szCs w:val="20"/>
          <w:color w:val="auto"/>
        </w:rPr>
      </w:pPr>
    </w:p>
    <w:p>
      <w:pPr>
        <w:ind w:right="280"/>
        <w:spacing w:after="0" w:line="257" w:lineRule="auto"/>
        <w:rPr>
          <w:sz w:val="20"/>
          <w:szCs w:val="20"/>
          <w:color w:val="auto"/>
        </w:rPr>
      </w:pPr>
      <w:r>
        <w:rPr>
          <w:rFonts w:ascii="Arial" w:cs="Arial" w:eastAsia="Arial" w:hAnsi="Arial"/>
          <w:sz w:val="22"/>
          <w:szCs w:val="22"/>
          <w:color w:val="auto"/>
        </w:rPr>
        <w:t>“We’re grateful for John's exceptional leadership during his career with Lennox. Over the years, his guidance and expertise were instrumental in serving our stakeholders, strengthening our governance principles, and growing our business,” said Alok Maskara, Chief Executive Officer of Lennox.</w:t>
      </w:r>
    </w:p>
    <w:p>
      <w:pPr>
        <w:spacing w:after="0" w:line="17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During his 16-year tenure, Torres led multiple strategic acquisitions and divestitures to transition Lennox’s portfolio toward North American growth. His leadership and dedication have been pivotal in positioning Lennox for long-term success. Maskara continued, “We extend our sincere thanks for John’s lasting contributions to Lennox and wish him the best in his well-deserved retirement. This seamless transition is a testament to our disciplined succession planning and strong bench of talent. We are fortunate to have Monica stepping into the role, and I look forward to working with her in her new capacity.”</w:t>
      </w:r>
    </w:p>
    <w:p>
      <w:pPr>
        <w:spacing w:after="0" w:line="195"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Brown has a proven record of success over 12 years with Lennox, successfully leading a broad range of legal functions. Before joining Lennox, she spent almost 13 years practicing complex commercial litigation at a prestigious law firm. Brown holds a bachelor’s degree from Howard University and a J.D. from the University of Texas School of Law.</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Lennox</w:t>
      </w:r>
    </w:p>
    <w:p>
      <w:pPr>
        <w:spacing w:after="0" w:line="168" w:lineRule="exact"/>
        <w:rPr>
          <w:sz w:val="20"/>
          <w:szCs w:val="20"/>
          <w:color w:val="auto"/>
        </w:rPr>
      </w:pPr>
    </w:p>
    <w:p>
      <w:pPr>
        <w:ind w:right="260"/>
        <w:spacing w:after="0" w:line="282" w:lineRule="auto"/>
        <w:rPr>
          <w:sz w:val="20"/>
          <w:szCs w:val="20"/>
          <w:color w:val="auto"/>
        </w:rPr>
      </w:pPr>
      <w:r>
        <w:rPr>
          <w:rFonts w:ascii="Arial" w:cs="Arial" w:eastAsia="Arial" w:hAnsi="Arial"/>
          <w:sz w:val="21"/>
          <w:szCs w:val="21"/>
          <w:color w:val="auto"/>
        </w:rPr>
        <w:t>Lennox (NYSE: LII) is a leader in energy-efficient climate-control solutions. Dedicated to sustainability and creating comfortable and healthier environments for our residential and commercial customers while reducing their carbon footprint, we lead the field in innovation with our cooling, heating, indoor air quality, and refrigeration systems. Additional information on Lennox is available at www.lennox.com. For media inquiries, contact PR@lennox.com.</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2024-10-23T05:58:15Z</dcterms:created>
  <dcterms:modified xsi:type="dcterms:W3CDTF">2024-10-23T05:58:15Z</dcterms:modified>
</cp:coreProperties>
</file>