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NORRIS JOHN W III</w:t>
              </w:r>
            </w:hyperlink>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LENNOX INTERNATIONAL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00" w:type="dxa"/>
            <w:vAlign w:val="bottom"/>
            <w:tcBorders>
              <w:bottom w:val="single" w:sz="8" w:color="0000EE"/>
            </w:tcBorders>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2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7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9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740" w:type="dxa"/>
            <w:vAlign w:val="bottom"/>
            <w:tcBorders>
              <w:top w:val="single" w:sz="8" w:color="EEEEEE"/>
            </w:tcBorders>
            <w:vMerge w:val="restart"/>
          </w:tcPr>
          <w:p>
            <w:pPr>
              <w:ind w:left="5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32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07/10/2025</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2140 LAKE PARK BLVD.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225"/>
          </w:cols>
          <w:pgMar w:left="460" w:top="219" w:right="47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RICHARDSON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75080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04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7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7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3"/>
          </w:tcPr>
          <w:p>
            <w:pPr>
              <w:jc w:val="center"/>
              <w:ind w:right="1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72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7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ind w:left="4"/>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10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07/10/2025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1,550</w:t>
            </w:r>
          </w:p>
        </w:tc>
        <w:tc>
          <w:tcPr>
            <w:tcW w:w="520" w:type="dxa"/>
            <w:vAlign w:val="bottom"/>
            <w:vMerge w:val="restart"/>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613.1277</w:t>
            </w:r>
            <w:r>
              <w:rPr>
                <w:rFonts w:ascii="Times New Roman" w:cs="Times New Roman" w:eastAsia="Times New Roman" w:hAnsi="Times New Roman"/>
                <w:sz w:val="22"/>
                <w:szCs w:val="22"/>
                <w:color w:val="008000"/>
                <w:vertAlign w:val="superscript"/>
              </w:rPr>
              <w:t>(1)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202,546</w:t>
            </w:r>
          </w:p>
        </w:tc>
        <w:tc>
          <w:tcPr>
            <w:tcW w:w="960" w:type="dxa"/>
            <w:vAlign w:val="bottom"/>
            <w:vMerge w:val="restart"/>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1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72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07/10/2025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1,350</w:t>
            </w:r>
          </w:p>
        </w:tc>
        <w:tc>
          <w:tcPr>
            <w:tcW w:w="520" w:type="dxa"/>
            <w:vAlign w:val="bottom"/>
            <w:vMerge w:val="restart"/>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614.1276</w:t>
            </w:r>
            <w:r>
              <w:rPr>
                <w:rFonts w:ascii="Times New Roman" w:cs="Times New Roman" w:eastAsia="Times New Roman" w:hAnsi="Times New Roman"/>
                <w:sz w:val="22"/>
                <w:szCs w:val="22"/>
                <w:color w:val="008000"/>
                <w:vertAlign w:val="superscript"/>
              </w:rPr>
              <w:t>(2)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201,196</w:t>
            </w:r>
          </w:p>
        </w:tc>
        <w:tc>
          <w:tcPr>
            <w:tcW w:w="960" w:type="dxa"/>
            <w:vAlign w:val="bottom"/>
            <w:vMerge w:val="restart"/>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1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72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07/10/2025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290</w:t>
            </w:r>
          </w:p>
        </w:tc>
        <w:tc>
          <w:tcPr>
            <w:tcW w:w="520" w:type="dxa"/>
            <w:vAlign w:val="bottom"/>
            <w:vMerge w:val="restart"/>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615.0069</w:t>
            </w:r>
            <w:r>
              <w:rPr>
                <w:rFonts w:ascii="Times New Roman" w:cs="Times New Roman" w:eastAsia="Times New Roman" w:hAnsi="Times New Roman"/>
                <w:sz w:val="22"/>
                <w:szCs w:val="22"/>
                <w:color w:val="008000"/>
                <w:vertAlign w:val="superscript"/>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200,906</w:t>
            </w:r>
          </w:p>
        </w:tc>
        <w:tc>
          <w:tcPr>
            <w:tcW w:w="960" w:type="dxa"/>
            <w:vAlign w:val="bottom"/>
            <w:vMerge w:val="restart"/>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1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72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107,250</w:t>
            </w:r>
          </w:p>
        </w:tc>
        <w:tc>
          <w:tcPr>
            <w:tcW w:w="96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JWN III</w:t>
            </w:r>
          </w:p>
        </w:tc>
        <w:tc>
          <w:tcPr>
            <w:tcW w:w="0" w:type="dxa"/>
            <w:vAlign w:val="bottom"/>
          </w:tcPr>
          <w:p>
            <w:pPr>
              <w:spacing w:after="0"/>
              <w:rPr>
                <w:sz w:val="1"/>
                <w:szCs w:val="1"/>
                <w:color w:val="auto"/>
              </w:rPr>
            </w:pPr>
          </w:p>
        </w:tc>
      </w:tr>
      <w:tr>
        <w:trPr>
          <w:trHeight w:val="120"/>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A</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720" w:type="dxa"/>
            <w:vAlign w:val="bottom"/>
            <w:tcBorders>
              <w:bottom w:val="single" w:sz="8" w:color="2C2C2C"/>
            </w:tcBorders>
            <w:vMerge w:val="continue"/>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107"/>
        </w:trPr>
        <w:tc>
          <w:tcPr>
            <w:tcW w:w="27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w w:val="98"/>
              </w:rPr>
              <w:t>47,853</w:t>
            </w:r>
          </w:p>
        </w:tc>
        <w:tc>
          <w:tcPr>
            <w:tcW w:w="96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07"/>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72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7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213"/>
        </w:trPr>
        <w:tc>
          <w:tcPr>
            <w:tcW w:w="2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w w:val="98"/>
              </w:rPr>
              <w:t>18,480</w:t>
            </w:r>
          </w:p>
        </w:tc>
        <w:tc>
          <w:tcPr>
            <w:tcW w:w="96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Marital</w:t>
            </w:r>
          </w:p>
        </w:tc>
        <w:tc>
          <w:tcPr>
            <w:tcW w:w="0" w:type="dxa"/>
            <w:vAlign w:val="bottom"/>
          </w:tcPr>
          <w:p>
            <w:pPr>
              <w:spacing w:after="0"/>
              <w:rPr>
                <w:sz w:val="1"/>
                <w:szCs w:val="1"/>
                <w:color w:val="auto"/>
              </w:rPr>
            </w:pPr>
          </w:p>
        </w:tc>
      </w:tr>
      <w:tr>
        <w:trPr>
          <w:trHeight w:val="120"/>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w:t>
            </w:r>
          </w:p>
        </w:tc>
        <w:tc>
          <w:tcPr>
            <w:tcW w:w="0" w:type="dxa"/>
            <w:vAlign w:val="bottom"/>
          </w:tcPr>
          <w:p>
            <w:pPr>
              <w:spacing w:after="0"/>
              <w:rPr>
                <w:sz w:val="1"/>
                <w:szCs w:val="1"/>
                <w:color w:val="auto"/>
              </w:rPr>
            </w:pPr>
          </w:p>
        </w:tc>
      </w:tr>
      <w:tr>
        <w:trPr>
          <w:trHeight w:val="93"/>
        </w:trPr>
        <w:tc>
          <w:tcPr>
            <w:tcW w:w="27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7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Exempt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213"/>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Marital</w:t>
            </w:r>
          </w:p>
        </w:tc>
        <w:tc>
          <w:tcPr>
            <w:tcW w:w="0" w:type="dxa"/>
            <w:vAlign w:val="bottom"/>
          </w:tcPr>
          <w:p>
            <w:pPr>
              <w:spacing w:after="0"/>
              <w:rPr>
                <w:sz w:val="1"/>
                <w:szCs w:val="1"/>
                <w:color w:val="auto"/>
              </w:rPr>
            </w:pPr>
          </w:p>
        </w:tc>
      </w:tr>
      <w:tr>
        <w:trPr>
          <w:trHeight w:val="107"/>
        </w:trPr>
        <w:tc>
          <w:tcPr>
            <w:tcW w:w="27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146,835</w:t>
            </w:r>
          </w:p>
        </w:tc>
        <w:tc>
          <w:tcPr>
            <w:tcW w:w="96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w:t>
            </w:r>
          </w:p>
        </w:tc>
        <w:tc>
          <w:tcPr>
            <w:tcW w:w="0" w:type="dxa"/>
            <w:vAlign w:val="bottom"/>
          </w:tcPr>
          <w:p>
            <w:pPr>
              <w:spacing w:after="0"/>
              <w:rPr>
                <w:sz w:val="1"/>
                <w:szCs w:val="1"/>
                <w:color w:val="auto"/>
              </w:rPr>
            </w:pPr>
          </w:p>
        </w:tc>
      </w:tr>
      <w:tr>
        <w:trPr>
          <w:trHeight w:val="107"/>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72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Non-</w:t>
            </w:r>
          </w:p>
        </w:tc>
        <w:tc>
          <w:tcPr>
            <w:tcW w:w="0" w:type="dxa"/>
            <w:vAlign w:val="bottom"/>
          </w:tcPr>
          <w:p>
            <w:pPr>
              <w:spacing w:after="0"/>
              <w:rPr>
                <w:sz w:val="1"/>
                <w:szCs w:val="1"/>
                <w:color w:val="auto"/>
              </w:rPr>
            </w:pPr>
          </w:p>
        </w:tc>
      </w:tr>
      <w:tr>
        <w:trPr>
          <w:trHeight w:val="93"/>
        </w:trPr>
        <w:tc>
          <w:tcPr>
            <w:tcW w:w="2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7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Exempt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213"/>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Childs</w:t>
            </w:r>
          </w:p>
        </w:tc>
        <w:tc>
          <w:tcPr>
            <w:tcW w:w="0" w:type="dxa"/>
            <w:vAlign w:val="bottom"/>
          </w:tcPr>
          <w:p>
            <w:pPr>
              <w:spacing w:after="0"/>
              <w:rPr>
                <w:sz w:val="1"/>
                <w:szCs w:val="1"/>
                <w:color w:val="auto"/>
              </w:rPr>
            </w:pPr>
          </w:p>
        </w:tc>
      </w:tr>
      <w:tr>
        <w:trPr>
          <w:trHeight w:val="107"/>
        </w:trPr>
        <w:tc>
          <w:tcPr>
            <w:tcW w:w="27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530</w:t>
            </w:r>
          </w:p>
        </w:tc>
        <w:tc>
          <w:tcPr>
            <w:tcW w:w="96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fbo</w:t>
            </w:r>
          </w:p>
        </w:tc>
        <w:tc>
          <w:tcPr>
            <w:tcW w:w="0" w:type="dxa"/>
            <w:vAlign w:val="bottom"/>
          </w:tcPr>
          <w:p>
            <w:pPr>
              <w:spacing w:after="0"/>
              <w:rPr>
                <w:sz w:val="1"/>
                <w:szCs w:val="1"/>
                <w:color w:val="auto"/>
              </w:rPr>
            </w:pPr>
          </w:p>
        </w:tc>
      </w:tr>
      <w:tr>
        <w:trPr>
          <w:trHeight w:val="107"/>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72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John W.</w:t>
            </w:r>
          </w:p>
        </w:tc>
        <w:tc>
          <w:tcPr>
            <w:tcW w:w="0" w:type="dxa"/>
            <w:vAlign w:val="bottom"/>
          </w:tcPr>
          <w:p>
            <w:pPr>
              <w:spacing w:after="0"/>
              <w:rPr>
                <w:sz w:val="1"/>
                <w:szCs w:val="1"/>
                <w:color w:val="auto"/>
              </w:rPr>
            </w:pPr>
          </w:p>
        </w:tc>
      </w:tr>
      <w:tr>
        <w:trPr>
          <w:trHeight w:val="93"/>
        </w:trPr>
        <w:tc>
          <w:tcPr>
            <w:tcW w:w="2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Norris III</w:t>
            </w:r>
          </w:p>
        </w:tc>
        <w:tc>
          <w:tcPr>
            <w:tcW w:w="0" w:type="dxa"/>
            <w:vAlign w:val="bottom"/>
          </w:tcPr>
          <w:p>
            <w:pPr>
              <w:spacing w:after="0"/>
              <w:rPr>
                <w:sz w:val="1"/>
                <w:szCs w:val="1"/>
                <w:color w:val="auto"/>
              </w:rPr>
            </w:pPr>
          </w:p>
        </w:tc>
      </w:tr>
      <w:tr>
        <w:trPr>
          <w:trHeight w:val="61"/>
        </w:trPr>
        <w:tc>
          <w:tcPr>
            <w:tcW w:w="2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213"/>
        </w:trPr>
        <w:tc>
          <w:tcPr>
            <w:tcW w:w="2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w w:val="99"/>
              </w:rPr>
              <w:t>1,685</w:t>
            </w:r>
          </w:p>
        </w:tc>
        <w:tc>
          <w:tcPr>
            <w:tcW w:w="96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Newman</w:t>
            </w:r>
          </w:p>
        </w:tc>
        <w:tc>
          <w:tcPr>
            <w:tcW w:w="0" w:type="dxa"/>
            <w:vAlign w:val="bottom"/>
          </w:tcPr>
          <w:p>
            <w:pPr>
              <w:spacing w:after="0"/>
              <w:rPr>
                <w:sz w:val="1"/>
                <w:szCs w:val="1"/>
                <w:color w:val="auto"/>
              </w:rPr>
            </w:pPr>
          </w:p>
        </w:tc>
      </w:tr>
      <w:tr>
        <w:trPr>
          <w:trHeight w:val="120"/>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Minors</w:t>
            </w:r>
          </w:p>
        </w:tc>
        <w:tc>
          <w:tcPr>
            <w:tcW w:w="0" w:type="dxa"/>
            <w:vAlign w:val="bottom"/>
          </w:tcPr>
          <w:p>
            <w:pPr>
              <w:spacing w:after="0"/>
              <w:rPr>
                <w:sz w:val="1"/>
                <w:szCs w:val="1"/>
                <w:color w:val="auto"/>
              </w:rPr>
            </w:pPr>
          </w:p>
        </w:tc>
      </w:tr>
      <w:tr>
        <w:trPr>
          <w:trHeight w:val="93"/>
        </w:trPr>
        <w:tc>
          <w:tcPr>
            <w:tcW w:w="272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7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107"/>
        </w:trPr>
        <w:tc>
          <w:tcPr>
            <w:tcW w:w="27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rPr>
              <w:t>2,545,105</w:t>
            </w:r>
          </w:p>
        </w:tc>
        <w:tc>
          <w:tcPr>
            <w:tcW w:w="96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07"/>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72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Ltd. P</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72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B.W.</w:t>
            </w:r>
          </w:p>
        </w:tc>
        <w:tc>
          <w:tcPr>
            <w:tcW w:w="0" w:type="dxa"/>
            <w:vAlign w:val="bottom"/>
          </w:tcPr>
          <w:p>
            <w:pPr>
              <w:spacing w:after="0"/>
              <w:rPr>
                <w:sz w:val="1"/>
                <w:szCs w:val="1"/>
                <w:color w:val="auto"/>
              </w:rPr>
            </w:pPr>
          </w:p>
        </w:tc>
      </w:tr>
      <w:tr>
        <w:trPr>
          <w:trHeight w:val="213"/>
        </w:trPr>
        <w:tc>
          <w:tcPr>
            <w:tcW w:w="2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vMerge w:val="restart"/>
          </w:tcPr>
          <w:p>
            <w:pPr>
              <w:jc w:val="center"/>
              <w:ind w:left="6"/>
              <w:spacing w:after="0"/>
              <w:rPr>
                <w:sz w:val="20"/>
                <w:szCs w:val="20"/>
                <w:color w:val="auto"/>
              </w:rPr>
            </w:pPr>
            <w:r>
              <w:rPr>
                <w:rFonts w:ascii="Times New Roman" w:cs="Times New Roman" w:eastAsia="Times New Roman" w:hAnsi="Times New Roman"/>
                <w:sz w:val="17"/>
                <w:szCs w:val="17"/>
                <w:color w:val="0000FF"/>
                <w:w w:val="98"/>
              </w:rPr>
              <w:t>28,372</w:t>
            </w:r>
          </w:p>
        </w:tc>
        <w:tc>
          <w:tcPr>
            <w:tcW w:w="960" w:type="dxa"/>
            <w:vAlign w:val="bottom"/>
            <w:vMerge w:val="restart"/>
          </w:tcPr>
          <w:p>
            <w:pPr>
              <w:jc w:val="center"/>
              <w:ind w:left="4"/>
              <w:spacing w:after="0"/>
              <w:rPr>
                <w:sz w:val="20"/>
                <w:szCs w:val="20"/>
                <w:color w:val="auto"/>
              </w:rPr>
            </w:pPr>
            <w:r>
              <w:rPr>
                <w:rFonts w:ascii="Times New Roman" w:cs="Times New Roman" w:eastAsia="Times New Roman" w:hAnsi="Times New Roman"/>
                <w:sz w:val="16"/>
                <w:szCs w:val="16"/>
                <w:color w:val="0000FF"/>
                <w:w w:val="74"/>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120"/>
        </w:trPr>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107"/>
        </w:trPr>
        <w:tc>
          <w:tcPr>
            <w:tcW w:w="27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43961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439610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8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Catherine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restart"/>
          </w:tcPr>
          <w:p>
            <w:pPr>
              <w:jc w:val="center"/>
              <w:ind w:left="9"/>
              <w:spacing w:after="0"/>
              <w:rPr>
                <w:sz w:val="20"/>
                <w:szCs w:val="20"/>
                <w:color w:val="auto"/>
              </w:rPr>
            </w:pPr>
            <w:r>
              <w:rPr>
                <w:rFonts w:ascii="Times New Roman" w:cs="Times New Roman" w:eastAsia="Times New Roman" w:hAnsi="Times New Roman"/>
                <w:sz w:val="17"/>
                <w:szCs w:val="17"/>
                <w:color w:val="0000FF"/>
                <w:w w:val="99"/>
              </w:rPr>
              <w:t>5,636</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Houlihan-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 C.</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restart"/>
          </w:tcPr>
          <w:p>
            <w:pPr>
              <w:jc w:val="center"/>
              <w:ind w:left="9"/>
              <w:spacing w:after="0"/>
              <w:rPr>
                <w:sz w:val="20"/>
                <w:szCs w:val="20"/>
                <w:color w:val="auto"/>
              </w:rPr>
            </w:pPr>
            <w:r>
              <w:rPr>
                <w:rFonts w:ascii="Times New Roman" w:cs="Times New Roman" w:eastAsia="Times New Roman" w:hAnsi="Times New Roman"/>
                <w:sz w:val="17"/>
                <w:szCs w:val="17"/>
                <w:color w:val="0000FF"/>
                <w:w w:val="98"/>
              </w:rPr>
              <w:t>28,372</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W.H.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vMerge w:val="restart"/>
          </w:tcPr>
          <w:p>
            <w:pPr>
              <w:jc w:val="center"/>
              <w:ind w:left="9"/>
              <w:spacing w:after="0"/>
              <w:rPr>
                <w:sz w:val="20"/>
                <w:szCs w:val="20"/>
                <w:color w:val="auto"/>
              </w:rPr>
            </w:pPr>
            <w:r>
              <w:rPr>
                <w:rFonts w:ascii="Times New Roman" w:cs="Times New Roman" w:eastAsia="Times New Roman" w:hAnsi="Times New Roman"/>
                <w:sz w:val="17"/>
                <w:szCs w:val="17"/>
                <w:color w:val="0000FF"/>
                <w:w w:val="98"/>
              </w:rPr>
              <w:t>28,372</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Norris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1"/>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weighted average sale price of $613.1277 at prices ranging from $612.61 to $613.54 per share. The Reporting Person will provide, upon request by the staff of the Securities and Exchange Commission, the Issuer, or a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weighted average sale price of $614.1276 at prices ranging from $613.66 to $614.61 per share. The Reporting Person will provide, upon request by the staff of the Securities and Exchange Commission, the Issuer, or a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weighted average sale price of $615.0069 at prices ranging from $615.00 to $615.01 per share. The Reporting Person will provide, upon request by the staff of the Securities and Exchange Commission, the Issuer, or a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co-trustee.</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co-trustee and holds a remainder interest therein. The reporting person disclaims beneficial ownership of these securities except to the extent of his pecuniary interest therein, and this report shall not be deemed an admission that the reporting person is the beneficial owner of such securities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and this report shall not be deemed an admission that the reporting person is the beneficial owner of such securities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president of J.W. Norris, Inc., the general partner of the Norris Family Limited Partnership (the "Limited Partnership"), and also holds a percentage of the limited partnership interest in the Limited Partnership. The reporting person disclaims beneficial ownership of these securities except to the extent of his pecuniary interest therein, and this report shall not be deemed an admission that the reporting person is the beneficial owner of such securities for purposes of Section 16 or for any other purpose.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Monica Brown,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6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Mr. John W. Norris  07/11/2025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98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39032" TargetMode="External"/><Relationship Id="rId14" Type="http://schemas.openxmlformats.org/officeDocument/2006/relationships/hyperlink" Target="http://www.sec.gov/cgi-bin/browse-edgar?action=getcompany&amp;CIK=00010692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2025-07-11T10:08:09Z</dcterms:created>
  <dcterms:modified xsi:type="dcterms:W3CDTF">2025-07-11T10:08:09Z</dcterms:modified>
</cp:coreProperties>
</file>